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CF7" w:rsidRDefault="009F520F">
      <w:pPr>
        <w:pStyle w:val="1"/>
        <w:snapToGrid w:val="0"/>
        <w:spacing w:line="240" w:lineRule="auto"/>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北京建工土木工程有限公司</w:t>
      </w:r>
      <w:r>
        <w:rPr>
          <w:rFonts w:ascii="方正小标宋简体" w:eastAsia="方正小标宋简体" w:hAnsi="方正小标宋简体" w:cs="方正小标宋简体" w:hint="eastAsia"/>
          <w:b w:val="0"/>
        </w:rPr>
        <w:br/>
        <w:t>2023</w:t>
      </w:r>
      <w:r>
        <w:rPr>
          <w:rFonts w:ascii="方正小标宋简体" w:eastAsia="方正小标宋简体" w:hAnsi="方正小标宋简体" w:cs="方正小标宋简体" w:hint="eastAsia"/>
          <w:b w:val="0"/>
        </w:rPr>
        <w:t>校园招聘简章</w:t>
      </w:r>
    </w:p>
    <w:p w:rsidR="002F3CF7" w:rsidRDefault="009F520F">
      <w:pPr>
        <w:pStyle w:val="2"/>
        <w:rPr>
          <w:rFonts w:ascii="仿宋" w:hAnsi="仿宋" w:cs="仿宋"/>
        </w:rPr>
      </w:pPr>
      <w:r>
        <w:rPr>
          <w:rFonts w:ascii="仿宋" w:hAnsi="仿宋" w:cs="仿宋" w:hint="eastAsia"/>
        </w:rPr>
        <w:t>一、公司简介</w:t>
      </w:r>
    </w:p>
    <w:p w:rsidR="002F3CF7" w:rsidRDefault="009F520F">
      <w:pPr>
        <w:ind w:firstLineChars="200" w:firstLine="560"/>
        <w:rPr>
          <w:rFonts w:cs="仿宋"/>
        </w:rPr>
      </w:pPr>
      <w:r>
        <w:rPr>
          <w:rFonts w:cs="仿宋" w:hint="eastAsia"/>
        </w:rPr>
        <w:t>北京建工土木工程有限公司是</w:t>
      </w:r>
      <w:r>
        <w:rPr>
          <w:rFonts w:cs="仿宋" w:hint="eastAsia"/>
          <w:lang w:eastAsia="zh-Hans"/>
        </w:rPr>
        <w:t>著名</w:t>
      </w:r>
      <w:r>
        <w:rPr>
          <w:rFonts w:cs="仿宋" w:hint="eastAsia"/>
        </w:rPr>
        <w:t>国际工程承包商——北京建工集团有限责任公司的全资子公司，注册资本</w:t>
      </w:r>
      <w:r>
        <w:rPr>
          <w:rFonts w:cs="仿宋" w:hint="eastAsia"/>
        </w:rPr>
        <w:t>6.5</w:t>
      </w:r>
      <w:r>
        <w:rPr>
          <w:rFonts w:cs="仿宋" w:hint="eastAsia"/>
        </w:rPr>
        <w:t>亿元，是一家以轨道交通、道路桥梁、生态环保、美丽乡村建设为核心发展业务，以智慧基建、机场基础设施、地下空间、资产运营为战略发展业务，同时持续拓展多行业与多领域基础设施的综合性建筑施工总承包企业，具有房屋建筑工程施工总承包一级、市政公用工程施工总承包一级</w:t>
      </w:r>
      <w:r>
        <w:rPr>
          <w:rFonts w:cs="仿宋" w:hint="eastAsia"/>
        </w:rPr>
        <w:t>、工程监理和造价咨询</w:t>
      </w:r>
      <w:proofErr w:type="gramStart"/>
      <w:r>
        <w:rPr>
          <w:rFonts w:cs="仿宋" w:hint="eastAsia"/>
        </w:rPr>
        <w:t>甲级等</w:t>
      </w:r>
      <w:proofErr w:type="gramEnd"/>
      <w:r>
        <w:rPr>
          <w:rFonts w:cs="仿宋" w:hint="eastAsia"/>
        </w:rPr>
        <w:t>多项专业工程资质。</w:t>
      </w:r>
    </w:p>
    <w:p w:rsidR="002F3CF7" w:rsidRDefault="009F520F">
      <w:pPr>
        <w:ind w:firstLineChars="200" w:firstLine="560"/>
        <w:rPr>
          <w:rFonts w:cs="仿宋"/>
        </w:rPr>
      </w:pPr>
      <w:r>
        <w:rPr>
          <w:rFonts w:cs="仿宋" w:hint="eastAsia"/>
        </w:rPr>
        <w:t>公司</w:t>
      </w:r>
      <w:r>
        <w:rPr>
          <w:rFonts w:cs="仿宋" w:hint="eastAsia"/>
        </w:rPr>
        <w:t>成立于</w:t>
      </w:r>
      <w:r>
        <w:rPr>
          <w:rFonts w:cs="仿宋" w:hint="eastAsia"/>
        </w:rPr>
        <w:t>1995</w:t>
      </w:r>
      <w:r>
        <w:rPr>
          <w:rFonts w:cs="仿宋" w:hint="eastAsia"/>
        </w:rPr>
        <w:t>年</w:t>
      </w:r>
      <w:r>
        <w:rPr>
          <w:rFonts w:cs="仿宋" w:hint="eastAsia"/>
        </w:rPr>
        <w:t>6</w:t>
      </w:r>
      <w:r>
        <w:rPr>
          <w:rFonts w:cs="仿宋" w:hint="eastAsia"/>
        </w:rPr>
        <w:t>月</w:t>
      </w:r>
      <w:r>
        <w:rPr>
          <w:rFonts w:cs="仿宋" w:hint="eastAsia"/>
        </w:rPr>
        <w:t>23</w:t>
      </w:r>
      <w:r>
        <w:rPr>
          <w:rFonts w:cs="仿宋" w:hint="eastAsia"/>
        </w:rPr>
        <w:t>日，前期为北京建工集团有限责任公司与德国第二大建筑公司德国贝尔芬格伯格公司组建的中德合资企业。</w:t>
      </w:r>
      <w:r>
        <w:rPr>
          <w:rFonts w:cs="仿宋" w:hint="eastAsia"/>
        </w:rPr>
        <w:t>2009</w:t>
      </w:r>
      <w:r>
        <w:rPr>
          <w:rFonts w:cs="仿宋" w:hint="eastAsia"/>
        </w:rPr>
        <w:t>年结束中德合资，成为北京建工集团有限责任公司旗下以基础设施建设为主的全资子公司。</w:t>
      </w:r>
      <w:r>
        <w:rPr>
          <w:rFonts w:cs="仿宋" w:hint="eastAsia"/>
        </w:rPr>
        <w:t>2017</w:t>
      </w:r>
      <w:r>
        <w:rPr>
          <w:rFonts w:cs="仿宋" w:hint="eastAsia"/>
        </w:rPr>
        <w:t>年，增设为北京建工集团有限责任公司三大核心事业部之一的基础设施部，代表集团负责基础设施领域的市场开拓和项目管理。</w:t>
      </w:r>
      <w:r>
        <w:rPr>
          <w:rFonts w:cs="仿宋" w:hint="eastAsia"/>
        </w:rPr>
        <w:t>202</w:t>
      </w:r>
      <w:r>
        <w:rPr>
          <w:rFonts w:cs="仿宋" w:hint="eastAsia"/>
        </w:rPr>
        <w:t>2</w:t>
      </w:r>
      <w:r>
        <w:rPr>
          <w:rFonts w:cs="仿宋" w:hint="eastAsia"/>
        </w:rPr>
        <w:t>年，吸纳合并深圳市京</w:t>
      </w:r>
      <w:proofErr w:type="gramStart"/>
      <w:r>
        <w:rPr>
          <w:rFonts w:cs="仿宋" w:hint="eastAsia"/>
        </w:rPr>
        <w:t>圳</w:t>
      </w:r>
      <w:proofErr w:type="gramEnd"/>
      <w:r>
        <w:rPr>
          <w:rFonts w:cs="仿宋" w:hint="eastAsia"/>
        </w:rPr>
        <w:t>工程咨询有限公司，纵深拓展造价咨询、工程监理业务领域，实现了一体化服务、产业链协同的高质量发展崭新篇章。</w:t>
      </w:r>
    </w:p>
    <w:p w:rsidR="002F3CF7" w:rsidRDefault="009F520F">
      <w:pPr>
        <w:ind w:firstLineChars="200" w:firstLine="560"/>
        <w:rPr>
          <w:rFonts w:cs="仿宋"/>
        </w:rPr>
      </w:pPr>
      <w:r>
        <w:rPr>
          <w:rFonts w:cs="仿宋" w:hint="eastAsia"/>
        </w:rPr>
        <w:t>作为国内建设领域的一支劲旅，在轨道交通、地下空间、机库场道、房建工程、公路桥梁、水环境工程及盾构机服务等多项业务领域里成就</w:t>
      </w:r>
      <w:r>
        <w:rPr>
          <w:rFonts w:cs="仿宋" w:hint="eastAsia"/>
        </w:rPr>
        <w:lastRenderedPageBreak/>
        <w:t>卓越。</w:t>
      </w:r>
      <w:r>
        <w:rPr>
          <w:rFonts w:cs="仿宋" w:hint="eastAsia"/>
        </w:rPr>
        <w:t>承建了北京、广州、深圳、东莞、济南、苏州、南京、青岛等地</w:t>
      </w:r>
      <w:r>
        <w:rPr>
          <w:rFonts w:cs="仿宋" w:hint="eastAsia"/>
        </w:rPr>
        <w:t>40</w:t>
      </w:r>
      <w:r>
        <w:rPr>
          <w:rFonts w:cs="仿宋" w:hint="eastAsia"/>
        </w:rPr>
        <w:t>余个地铁标段，以及北京雁栖湖国际会展中心、北京友谊医院、北京</w:t>
      </w:r>
      <w:r>
        <w:rPr>
          <w:rFonts w:cs="仿宋" w:hint="eastAsia"/>
        </w:rPr>
        <w:t>A380</w:t>
      </w:r>
      <w:r>
        <w:rPr>
          <w:rFonts w:cs="仿宋" w:hint="eastAsia"/>
        </w:rPr>
        <w:t>飞机维修机库、北京通州文旅区地下综合管廊、北京高碑店污水处理厂、国道</w:t>
      </w:r>
      <w:r>
        <w:rPr>
          <w:rFonts w:cs="仿宋" w:hint="eastAsia"/>
        </w:rPr>
        <w:t>109</w:t>
      </w:r>
      <w:r>
        <w:rPr>
          <w:rFonts w:cs="仿宋" w:hint="eastAsia"/>
        </w:rPr>
        <w:t>新线高速公路、苏州太湖新城地下空间、贵阳市中环路</w:t>
      </w:r>
      <w:r>
        <w:rPr>
          <w:rFonts w:cs="仿宋" w:hint="eastAsia"/>
        </w:rPr>
        <w:t>杨柳井隧道、昆明翠湖片区整治提升工程、青岛海绵城市</w:t>
      </w:r>
      <w:r>
        <w:rPr>
          <w:rFonts w:cs="仿宋" w:hint="eastAsia"/>
        </w:rPr>
        <w:t>PPP</w:t>
      </w:r>
      <w:r>
        <w:rPr>
          <w:rFonts w:cs="仿宋" w:hint="eastAsia"/>
        </w:rPr>
        <w:t>项目、宜兴农村污水治理</w:t>
      </w:r>
      <w:r>
        <w:rPr>
          <w:rFonts w:cs="仿宋" w:hint="eastAsia"/>
        </w:rPr>
        <w:t>EPC</w:t>
      </w:r>
      <w:r>
        <w:rPr>
          <w:rFonts w:cs="仿宋" w:hint="eastAsia"/>
        </w:rPr>
        <w:t>项目等重大政治民生工程，是国内基础设施领域极具竞争力和成长性的建筑企业之一</w:t>
      </w:r>
      <w:r w:rsidR="001637B0">
        <w:rPr>
          <w:rFonts w:cs="仿宋" w:hint="eastAsia"/>
        </w:rPr>
        <w:t>，</w:t>
      </w:r>
      <w:r w:rsidR="001637B0" w:rsidRPr="001637B0">
        <w:rPr>
          <w:rFonts w:cs="仿宋" w:hint="eastAsia"/>
        </w:rPr>
        <w:t>连续</w:t>
      </w:r>
      <w:r w:rsidR="001637B0" w:rsidRPr="001637B0">
        <w:rPr>
          <w:rFonts w:cs="仿宋"/>
        </w:rPr>
        <w:t>4年新签合同额突破百亿元</w:t>
      </w:r>
      <w:r w:rsidR="001637B0">
        <w:rPr>
          <w:rFonts w:cs="仿宋" w:hint="eastAsia"/>
        </w:rPr>
        <w:t>。</w:t>
      </w:r>
      <w:r w:rsidR="001637B0" w:rsidRPr="001637B0">
        <w:rPr>
          <w:rFonts w:cs="仿宋"/>
        </w:rPr>
        <w:t>拥有苏州、成都、青岛、云南、贵州、广州等6家分、子公司，经营范围遍布京津冀、环渤海、长三角、珠三角、大西南和华中地区等地域。</w:t>
      </w:r>
    </w:p>
    <w:p w:rsidR="002F3CF7" w:rsidRDefault="009F520F" w:rsidP="001637B0">
      <w:pPr>
        <w:ind w:firstLineChars="200" w:firstLine="560"/>
        <w:rPr>
          <w:rFonts w:cs="仿宋"/>
        </w:rPr>
      </w:pPr>
      <w:r>
        <w:rPr>
          <w:rFonts w:cs="仿宋" w:hint="eastAsia"/>
        </w:rPr>
        <w:t>公司</w:t>
      </w:r>
      <w:r w:rsidR="001637B0">
        <w:rPr>
          <w:rFonts w:cs="仿宋" w:hint="eastAsia"/>
        </w:rPr>
        <w:t>始终</w:t>
      </w:r>
      <w:r>
        <w:rPr>
          <w:rFonts w:cs="仿宋" w:hint="eastAsia"/>
        </w:rPr>
        <w:t>高度重视履约工作，努力为全社会奉献精品工程、平安工程。</w:t>
      </w:r>
      <w:r>
        <w:rPr>
          <w:rFonts w:cs="仿宋" w:hint="eastAsia"/>
        </w:rPr>
        <w:t>荣获</w:t>
      </w:r>
      <w:r>
        <w:rPr>
          <w:rFonts w:cs="仿宋" w:hint="eastAsia"/>
        </w:rPr>
        <w:t>5</w:t>
      </w:r>
      <w:r>
        <w:rPr>
          <w:rFonts w:cs="仿宋" w:hint="eastAsia"/>
        </w:rPr>
        <w:t>项“中国建设工程鲁班奖”，</w:t>
      </w:r>
      <w:r>
        <w:rPr>
          <w:rFonts w:cs="仿宋" w:hint="eastAsia"/>
        </w:rPr>
        <w:t>7</w:t>
      </w:r>
      <w:r>
        <w:rPr>
          <w:rFonts w:cs="仿宋" w:hint="eastAsia"/>
        </w:rPr>
        <w:t>项</w:t>
      </w:r>
      <w:r>
        <w:rPr>
          <w:rFonts w:cs="仿宋" w:hint="eastAsia"/>
        </w:rPr>
        <w:t>“中国土木工程詹天佑奖”</w:t>
      </w:r>
      <w:r>
        <w:rPr>
          <w:rFonts w:cs="仿宋" w:hint="eastAsia"/>
        </w:rPr>
        <w:t>，</w:t>
      </w:r>
      <w:r>
        <w:rPr>
          <w:rFonts w:cs="仿宋" w:hint="eastAsia"/>
        </w:rPr>
        <w:t>3</w:t>
      </w:r>
      <w:r>
        <w:rPr>
          <w:rFonts w:cs="仿宋" w:hint="eastAsia"/>
        </w:rPr>
        <w:t>项国家优质工程奖，</w:t>
      </w:r>
      <w:r>
        <w:rPr>
          <w:rFonts w:cs="仿宋" w:hint="eastAsia"/>
        </w:rPr>
        <w:t>1</w:t>
      </w:r>
      <w:r>
        <w:rPr>
          <w:rFonts w:cs="仿宋" w:hint="eastAsia"/>
        </w:rPr>
        <w:t>项中国水利优质工程（大禹奖），</w:t>
      </w:r>
      <w:r w:rsidR="001637B0" w:rsidRPr="001637B0">
        <w:rPr>
          <w:rFonts w:cs="仿宋"/>
        </w:rPr>
        <w:t>106项省部级优质工程</w:t>
      </w:r>
      <w:r w:rsidR="001637B0">
        <w:rPr>
          <w:rFonts w:cs="仿宋" w:hint="eastAsia"/>
        </w:rPr>
        <w:t>，</w:t>
      </w:r>
      <w:r>
        <w:rPr>
          <w:rFonts w:cs="仿宋" w:hint="eastAsia"/>
        </w:rPr>
        <w:t>9</w:t>
      </w:r>
      <w:r>
        <w:rPr>
          <w:rFonts w:cs="仿宋" w:hint="eastAsia"/>
        </w:rPr>
        <w:t>项北京市科学技术奖，</w:t>
      </w:r>
      <w:r>
        <w:rPr>
          <w:rFonts w:cs="仿宋" w:hint="eastAsia"/>
        </w:rPr>
        <w:t>1</w:t>
      </w:r>
      <w:r>
        <w:rPr>
          <w:rFonts w:cs="仿宋" w:hint="eastAsia"/>
        </w:rPr>
        <w:t>项华夏建设科学技术奖，</w:t>
      </w:r>
      <w:r>
        <w:rPr>
          <w:rFonts w:cs="仿宋" w:hint="eastAsia"/>
        </w:rPr>
        <w:t>20</w:t>
      </w:r>
      <w:r>
        <w:rPr>
          <w:rFonts w:cs="仿宋" w:hint="eastAsia"/>
        </w:rPr>
        <w:t>项省</w:t>
      </w:r>
      <w:r>
        <w:rPr>
          <w:rFonts w:cs="仿宋" w:hint="eastAsia"/>
        </w:rPr>
        <w:t>部级工法，</w:t>
      </w:r>
      <w:r w:rsidR="001637B0" w:rsidRPr="001637B0">
        <w:rPr>
          <w:rFonts w:cs="仿宋" w:hint="eastAsia"/>
        </w:rPr>
        <w:t>拥有</w:t>
      </w:r>
      <w:r w:rsidR="001637B0" w:rsidRPr="001637B0">
        <w:rPr>
          <w:rFonts w:cs="仿宋"/>
        </w:rPr>
        <w:t>45项发明专利，主持、参与制定了7项国家、行业等标准。</w:t>
      </w:r>
      <w:r w:rsidR="001637B0">
        <w:rPr>
          <w:rFonts w:cs="仿宋" w:hint="eastAsia"/>
        </w:rPr>
        <w:t>并</w:t>
      </w:r>
      <w:r>
        <w:rPr>
          <w:rFonts w:cs="仿宋" w:hint="eastAsia"/>
        </w:rPr>
        <w:t>先后获评全国优秀施工企业、全国五一劳动奖状、全国模范职工之家、北京市企业技术中心、北京市高新技术企业、北京市诚信企业、北京市思想政治工作先进单位、</w:t>
      </w:r>
      <w:r w:rsidR="001637B0" w:rsidRPr="001637B0">
        <w:rPr>
          <w:rFonts w:cs="仿宋" w:hint="eastAsia"/>
        </w:rPr>
        <w:t>北京市安全生产先进单位</w:t>
      </w:r>
      <w:r>
        <w:rPr>
          <w:rFonts w:cs="仿宋" w:hint="eastAsia"/>
        </w:rPr>
        <w:t>等多项荣誉。</w:t>
      </w:r>
    </w:p>
    <w:p w:rsidR="002F3CF7" w:rsidRDefault="009F520F">
      <w:pPr>
        <w:ind w:firstLineChars="200" w:firstLine="560"/>
        <w:rPr>
          <w:rFonts w:cs="仿宋"/>
        </w:rPr>
      </w:pPr>
      <w:r>
        <w:rPr>
          <w:rFonts w:cs="仿宋" w:hint="eastAsia"/>
        </w:rPr>
        <w:t>未来，公司将继续秉承“土木，让城市生活更美好”的企业使命，坚守“创新创业、包容共进”的企业精神，塑造“奋进土木、品质土木、创新土木、激情土木、和谐土木”的企业文化，致力于打造具有国际管理理念的基础设施领域创新引领主力军。</w:t>
      </w:r>
    </w:p>
    <w:p w:rsidR="002F3CF7" w:rsidRDefault="009F520F">
      <w:pPr>
        <w:pStyle w:val="2"/>
        <w:rPr>
          <w:rFonts w:ascii="仿宋" w:hAnsi="仿宋" w:cs="仿宋"/>
        </w:rPr>
      </w:pPr>
      <w:r>
        <w:rPr>
          <w:rFonts w:ascii="仿宋" w:hAnsi="仿宋" w:cs="仿宋" w:hint="eastAsia"/>
        </w:rPr>
        <w:lastRenderedPageBreak/>
        <w:t>二、企业优势</w:t>
      </w:r>
    </w:p>
    <w:p w:rsidR="002F3CF7" w:rsidRDefault="009F520F" w:rsidP="00D47E40">
      <w:pPr>
        <w:ind w:firstLineChars="200" w:firstLine="562"/>
        <w:rPr>
          <w:rFonts w:cs="仿宋"/>
          <w:b/>
        </w:rPr>
      </w:pPr>
      <w:r>
        <w:rPr>
          <w:rFonts w:cs="仿宋" w:hint="eastAsia"/>
          <w:b/>
        </w:rPr>
        <w:t>1</w:t>
      </w:r>
      <w:r>
        <w:rPr>
          <w:rFonts w:cs="仿宋" w:hint="eastAsia"/>
          <w:b/>
        </w:rPr>
        <w:t>．极具行业竞争力的薪资</w:t>
      </w:r>
    </w:p>
    <w:p w:rsidR="002F3CF7" w:rsidRDefault="009F520F" w:rsidP="00D47E40">
      <w:pPr>
        <w:numPr>
          <w:ilvl w:val="0"/>
          <w:numId w:val="1"/>
        </w:numPr>
        <w:ind w:left="0" w:firstLineChars="200" w:firstLine="560"/>
        <w:rPr>
          <w:rFonts w:cs="仿宋"/>
        </w:rPr>
      </w:pPr>
      <w:r>
        <w:rPr>
          <w:rFonts w:cs="仿宋" w:hint="eastAsia"/>
        </w:rPr>
        <w:t>工</w:t>
      </w:r>
      <w:r>
        <w:rPr>
          <w:rFonts w:cs="仿宋" w:hint="eastAsia"/>
        </w:rPr>
        <w:t>资构成：基本工资</w:t>
      </w:r>
      <w:r>
        <w:rPr>
          <w:rFonts w:cs="仿宋" w:hint="eastAsia"/>
        </w:rPr>
        <w:t>+</w:t>
      </w:r>
      <w:r>
        <w:rPr>
          <w:rFonts w:cs="仿宋" w:hint="eastAsia"/>
        </w:rPr>
        <w:t>岗位工资</w:t>
      </w:r>
    </w:p>
    <w:p w:rsidR="002F3CF7" w:rsidRDefault="009F520F" w:rsidP="00D47E40">
      <w:pPr>
        <w:numPr>
          <w:ilvl w:val="0"/>
          <w:numId w:val="1"/>
        </w:numPr>
        <w:ind w:left="0" w:firstLineChars="200" w:firstLine="560"/>
        <w:rPr>
          <w:rFonts w:cs="仿宋"/>
        </w:rPr>
      </w:pPr>
      <w:r>
        <w:rPr>
          <w:rFonts w:cs="仿宋" w:hint="eastAsia"/>
        </w:rPr>
        <w:t>绩效奖金：能力绩效</w:t>
      </w:r>
      <w:r>
        <w:rPr>
          <w:rFonts w:cs="仿宋" w:hint="eastAsia"/>
        </w:rPr>
        <w:t>+</w:t>
      </w:r>
      <w:r>
        <w:rPr>
          <w:rFonts w:cs="仿宋" w:hint="eastAsia"/>
        </w:rPr>
        <w:t>月度绩效</w:t>
      </w:r>
      <w:r>
        <w:rPr>
          <w:rFonts w:cs="仿宋" w:hint="eastAsia"/>
        </w:rPr>
        <w:t>+</w:t>
      </w:r>
      <w:r>
        <w:rPr>
          <w:rFonts w:cs="仿宋" w:hint="eastAsia"/>
        </w:rPr>
        <w:t>年度绩效</w:t>
      </w:r>
    </w:p>
    <w:p w:rsidR="002F3CF7" w:rsidRDefault="009F520F" w:rsidP="00D47E40">
      <w:pPr>
        <w:numPr>
          <w:ilvl w:val="0"/>
          <w:numId w:val="1"/>
        </w:numPr>
        <w:ind w:left="0" w:firstLineChars="200" w:firstLine="560"/>
        <w:rPr>
          <w:rFonts w:cs="仿宋"/>
        </w:rPr>
      </w:pPr>
      <w:r>
        <w:rPr>
          <w:rFonts w:cs="仿宋" w:hint="eastAsia"/>
        </w:rPr>
        <w:t>效益奖金：项目兑现奖</w:t>
      </w:r>
    </w:p>
    <w:p w:rsidR="002F3CF7" w:rsidRDefault="009F520F" w:rsidP="00D47E40">
      <w:pPr>
        <w:numPr>
          <w:ilvl w:val="0"/>
          <w:numId w:val="1"/>
        </w:numPr>
        <w:ind w:left="0" w:firstLineChars="200" w:firstLine="560"/>
        <w:rPr>
          <w:rFonts w:cs="仿宋"/>
        </w:rPr>
      </w:pPr>
      <w:r>
        <w:rPr>
          <w:rFonts w:cs="仿宋" w:hint="eastAsia"/>
        </w:rPr>
        <w:t>专项奖励：安全奖、质量奖、科技奖、市场营销奖、劳动竞赛奖、收款清欠奖、</w:t>
      </w:r>
      <w:proofErr w:type="gramStart"/>
      <w:r>
        <w:rPr>
          <w:rFonts w:cs="仿宋" w:hint="eastAsia"/>
        </w:rPr>
        <w:t>结算奖</w:t>
      </w:r>
      <w:proofErr w:type="gramEnd"/>
      <w:r>
        <w:rPr>
          <w:rFonts w:cs="仿宋" w:hint="eastAsia"/>
        </w:rPr>
        <w:t>等多种专项奖励</w:t>
      </w:r>
    </w:p>
    <w:p w:rsidR="002F3CF7" w:rsidRPr="001637B0" w:rsidRDefault="009F520F" w:rsidP="00D47E40">
      <w:pPr>
        <w:numPr>
          <w:ilvl w:val="0"/>
          <w:numId w:val="1"/>
        </w:numPr>
        <w:ind w:left="0" w:firstLineChars="200" w:firstLine="560"/>
        <w:rPr>
          <w:rFonts w:cs="仿宋"/>
        </w:rPr>
      </w:pPr>
      <w:r>
        <w:rPr>
          <w:rFonts w:cs="仿宋" w:hint="eastAsia"/>
        </w:rPr>
        <w:t>津补贴：交通补贴、通讯补贴、外埠津贴、高温补贴、供暖报销、执业资格和职称津贴、司龄津贴等</w:t>
      </w:r>
    </w:p>
    <w:p w:rsidR="002F3CF7" w:rsidRPr="00D47E40" w:rsidRDefault="009F520F" w:rsidP="00D47E40">
      <w:pPr>
        <w:ind w:firstLineChars="200" w:firstLine="562"/>
        <w:rPr>
          <w:rFonts w:cs="仿宋"/>
          <w:b/>
        </w:rPr>
      </w:pPr>
      <w:r w:rsidRPr="00D47E40">
        <w:rPr>
          <w:rFonts w:cs="仿宋" w:hint="eastAsia"/>
          <w:b/>
        </w:rPr>
        <w:t>2</w:t>
      </w:r>
      <w:r w:rsidRPr="00D47E40">
        <w:rPr>
          <w:rFonts w:cs="仿宋" w:hint="eastAsia"/>
          <w:b/>
        </w:rPr>
        <w:t>．完善的福利保障机制</w:t>
      </w:r>
    </w:p>
    <w:p w:rsidR="002F3CF7" w:rsidRDefault="009F520F" w:rsidP="00D47E40">
      <w:pPr>
        <w:numPr>
          <w:ilvl w:val="0"/>
          <w:numId w:val="1"/>
        </w:numPr>
        <w:ind w:left="0" w:firstLineChars="200" w:firstLine="560"/>
        <w:rPr>
          <w:rFonts w:cs="仿宋"/>
        </w:rPr>
      </w:pPr>
      <w:r>
        <w:rPr>
          <w:rFonts w:cs="仿宋" w:hint="eastAsia"/>
        </w:rPr>
        <w:t>足额缴纳</w:t>
      </w:r>
      <w:proofErr w:type="gramStart"/>
      <w:r>
        <w:rPr>
          <w:rFonts w:cs="仿宋" w:hint="eastAsia"/>
        </w:rPr>
        <w:t>七险二</w:t>
      </w:r>
      <w:proofErr w:type="gramEnd"/>
      <w:r>
        <w:rPr>
          <w:rFonts w:cs="仿宋" w:hint="eastAsia"/>
        </w:rPr>
        <w:t>金（七险：养老</w:t>
      </w:r>
      <w:r>
        <w:rPr>
          <w:rFonts w:cs="仿宋" w:hint="eastAsia"/>
        </w:rPr>
        <w:t>+</w:t>
      </w:r>
      <w:r>
        <w:rPr>
          <w:rFonts w:cs="仿宋" w:hint="eastAsia"/>
        </w:rPr>
        <w:t>失业</w:t>
      </w:r>
      <w:r>
        <w:rPr>
          <w:rFonts w:cs="仿宋" w:hint="eastAsia"/>
        </w:rPr>
        <w:t>+</w:t>
      </w:r>
      <w:r>
        <w:rPr>
          <w:rFonts w:cs="仿宋" w:hint="eastAsia"/>
        </w:rPr>
        <w:t>工伤</w:t>
      </w:r>
      <w:r>
        <w:rPr>
          <w:rFonts w:cs="仿宋" w:hint="eastAsia"/>
        </w:rPr>
        <w:t>+</w:t>
      </w:r>
      <w:r>
        <w:rPr>
          <w:rFonts w:cs="仿宋" w:hint="eastAsia"/>
        </w:rPr>
        <w:t>生育</w:t>
      </w:r>
      <w:r>
        <w:rPr>
          <w:rFonts w:cs="仿宋" w:hint="eastAsia"/>
        </w:rPr>
        <w:t>+</w:t>
      </w:r>
      <w:r>
        <w:rPr>
          <w:rFonts w:cs="仿宋" w:hint="eastAsia"/>
        </w:rPr>
        <w:t>医疗</w:t>
      </w:r>
      <w:r>
        <w:rPr>
          <w:rFonts w:cs="仿宋" w:hint="eastAsia"/>
        </w:rPr>
        <w:t>+</w:t>
      </w:r>
      <w:r>
        <w:rPr>
          <w:rFonts w:cs="仿宋" w:hint="eastAsia"/>
        </w:rPr>
        <w:t>补充医疗保险</w:t>
      </w:r>
      <w:r>
        <w:rPr>
          <w:rFonts w:cs="仿宋" w:hint="eastAsia"/>
        </w:rPr>
        <w:t>+</w:t>
      </w:r>
      <w:r>
        <w:rPr>
          <w:rFonts w:cs="仿宋" w:hint="eastAsia"/>
        </w:rPr>
        <w:t>职工互助保险，二金：住房公积金</w:t>
      </w:r>
      <w:r>
        <w:rPr>
          <w:rFonts w:cs="仿宋" w:hint="eastAsia"/>
        </w:rPr>
        <w:t>+</w:t>
      </w:r>
      <w:r>
        <w:rPr>
          <w:rFonts w:cs="仿宋" w:hint="eastAsia"/>
        </w:rPr>
        <w:t>企业年金）</w:t>
      </w:r>
    </w:p>
    <w:p w:rsidR="002F3CF7" w:rsidRDefault="009F520F" w:rsidP="00D47E40">
      <w:pPr>
        <w:numPr>
          <w:ilvl w:val="0"/>
          <w:numId w:val="1"/>
        </w:numPr>
        <w:ind w:left="0" w:firstLineChars="200" w:firstLine="560"/>
        <w:rPr>
          <w:rFonts w:cs="仿宋"/>
        </w:rPr>
      </w:pPr>
      <w:r>
        <w:rPr>
          <w:rFonts w:cs="仿宋" w:hint="eastAsia"/>
        </w:rPr>
        <w:t>优秀毕业生北京、苏州、深圳落户机会</w:t>
      </w:r>
    </w:p>
    <w:p w:rsidR="002F3CF7" w:rsidRDefault="009F520F" w:rsidP="00D47E40">
      <w:pPr>
        <w:numPr>
          <w:ilvl w:val="0"/>
          <w:numId w:val="1"/>
        </w:numPr>
        <w:ind w:left="0" w:firstLineChars="200" w:firstLine="560"/>
        <w:rPr>
          <w:rFonts w:cs="仿宋"/>
        </w:rPr>
      </w:pPr>
      <w:r>
        <w:rPr>
          <w:rFonts w:cs="仿宋" w:hint="eastAsia"/>
        </w:rPr>
        <w:t>项目提供免费食宿、青年公寓、年度体检、带薪年假</w:t>
      </w:r>
    </w:p>
    <w:p w:rsidR="002F3CF7" w:rsidRDefault="009F520F" w:rsidP="00D47E40">
      <w:pPr>
        <w:numPr>
          <w:ilvl w:val="0"/>
          <w:numId w:val="1"/>
        </w:numPr>
        <w:ind w:left="0" w:firstLineChars="200" w:firstLine="560"/>
        <w:rPr>
          <w:rFonts w:cs="仿宋"/>
        </w:rPr>
      </w:pPr>
      <w:r>
        <w:rPr>
          <w:rFonts w:cs="仿宋" w:hint="eastAsia"/>
        </w:rPr>
        <w:t>工会节日慰问、生</w:t>
      </w:r>
      <w:r>
        <w:rPr>
          <w:rFonts w:cs="仿宋" w:hint="eastAsia"/>
        </w:rPr>
        <w:t>日慰问、丰富多彩的文体活动</w:t>
      </w:r>
    </w:p>
    <w:p w:rsidR="002F3CF7" w:rsidRDefault="009F520F" w:rsidP="00D47E40">
      <w:pPr>
        <w:numPr>
          <w:ilvl w:val="0"/>
          <w:numId w:val="1"/>
        </w:numPr>
        <w:ind w:left="0" w:firstLineChars="200" w:firstLine="560"/>
        <w:rPr>
          <w:rFonts w:cs="仿宋"/>
        </w:rPr>
      </w:pPr>
      <w:r>
        <w:rPr>
          <w:rFonts w:cs="仿宋" w:hint="eastAsia"/>
        </w:rPr>
        <w:t>优秀毕业生入职一次性补贴</w:t>
      </w:r>
    </w:p>
    <w:p w:rsidR="002F3CF7" w:rsidRPr="00D47E40" w:rsidRDefault="009F520F" w:rsidP="00D47E40">
      <w:pPr>
        <w:ind w:firstLineChars="200" w:firstLine="562"/>
        <w:rPr>
          <w:rFonts w:cs="仿宋"/>
          <w:b/>
        </w:rPr>
      </w:pPr>
      <w:r w:rsidRPr="00D47E40">
        <w:rPr>
          <w:rFonts w:cs="仿宋" w:hint="eastAsia"/>
          <w:b/>
        </w:rPr>
        <w:t>3</w:t>
      </w:r>
      <w:r w:rsidRPr="00D47E40">
        <w:rPr>
          <w:rFonts w:cs="仿宋" w:hint="eastAsia"/>
          <w:b/>
        </w:rPr>
        <w:t>．多通道职业发展序列</w:t>
      </w:r>
    </w:p>
    <w:p w:rsidR="002F3CF7" w:rsidRDefault="009F520F">
      <w:pPr>
        <w:ind w:firstLineChars="200" w:firstLine="560"/>
        <w:rPr>
          <w:rFonts w:cs="仿宋"/>
          <w:szCs w:val="21"/>
        </w:rPr>
      </w:pPr>
      <w:r>
        <w:rPr>
          <w:rFonts w:cs="仿宋" w:hint="eastAsia"/>
          <w:szCs w:val="21"/>
        </w:rPr>
        <w:t>通过管理序列、专业序列、项目经理序列、技能序列“四序列”职业发展通道，多专业轮岗、跨序列转岗、纵向晋升、横向发展，定期考核，在</w:t>
      </w:r>
      <w:r>
        <w:rPr>
          <w:rFonts w:cs="仿宋" w:hint="eastAsia"/>
          <w:szCs w:val="21"/>
        </w:rPr>
        <w:t>3-5</w:t>
      </w:r>
      <w:r>
        <w:rPr>
          <w:rFonts w:cs="仿宋" w:hint="eastAsia"/>
          <w:szCs w:val="21"/>
        </w:rPr>
        <w:t>年内，将优秀新员工培养为项目中、高层骨干和公司业务骨干。</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21"/>
        <w:gridCol w:w="496"/>
        <w:gridCol w:w="488"/>
        <w:gridCol w:w="548"/>
        <w:gridCol w:w="482"/>
        <w:gridCol w:w="455"/>
        <w:gridCol w:w="455"/>
        <w:gridCol w:w="456"/>
        <w:gridCol w:w="455"/>
        <w:gridCol w:w="455"/>
        <w:gridCol w:w="455"/>
        <w:gridCol w:w="456"/>
        <w:gridCol w:w="454"/>
        <w:gridCol w:w="455"/>
        <w:gridCol w:w="455"/>
        <w:gridCol w:w="455"/>
        <w:gridCol w:w="751"/>
        <w:gridCol w:w="591"/>
      </w:tblGrid>
      <w:tr w:rsidR="002F3CF7">
        <w:trPr>
          <w:trHeight w:val="1251"/>
          <w:jc w:val="center"/>
        </w:trPr>
        <w:tc>
          <w:tcPr>
            <w:tcW w:w="521" w:type="dxa"/>
            <w:vAlign w:val="center"/>
          </w:tcPr>
          <w:p w:rsidR="002F3CF7" w:rsidRDefault="009F520F">
            <w:pPr>
              <w:widowControl/>
              <w:jc w:val="center"/>
              <w:textAlignment w:val="center"/>
              <w:rPr>
                <w:rFonts w:cs="仿宋"/>
                <w:b/>
                <w:color w:val="000000"/>
                <w:sz w:val="24"/>
                <w:szCs w:val="24"/>
              </w:rPr>
            </w:pPr>
            <w:r>
              <w:rPr>
                <w:rFonts w:cs="仿宋" w:hint="eastAsia"/>
                <w:b/>
                <w:color w:val="000000"/>
                <w:kern w:val="0"/>
                <w:sz w:val="24"/>
                <w:szCs w:val="24"/>
              </w:rPr>
              <w:lastRenderedPageBreak/>
              <w:t>职类</w:t>
            </w:r>
          </w:p>
        </w:tc>
        <w:tc>
          <w:tcPr>
            <w:tcW w:w="984" w:type="dxa"/>
            <w:gridSpan w:val="2"/>
            <w:vAlign w:val="center"/>
          </w:tcPr>
          <w:p w:rsidR="002F3CF7" w:rsidRDefault="009F520F">
            <w:pPr>
              <w:widowControl/>
              <w:jc w:val="center"/>
              <w:textAlignment w:val="center"/>
              <w:rPr>
                <w:rFonts w:cs="仿宋"/>
                <w:b/>
                <w:color w:val="000000"/>
                <w:sz w:val="24"/>
                <w:szCs w:val="24"/>
              </w:rPr>
            </w:pPr>
            <w:r>
              <w:rPr>
                <w:rFonts w:cs="仿宋" w:hint="eastAsia"/>
                <w:b/>
                <w:color w:val="000000"/>
                <w:kern w:val="0"/>
                <w:sz w:val="24"/>
                <w:szCs w:val="24"/>
              </w:rPr>
              <w:t>管理类（</w:t>
            </w:r>
            <w:r>
              <w:rPr>
                <w:rFonts w:cs="仿宋" w:hint="eastAsia"/>
                <w:b/>
                <w:color w:val="000000"/>
                <w:kern w:val="0"/>
                <w:sz w:val="24"/>
                <w:szCs w:val="24"/>
              </w:rPr>
              <w:t>M</w:t>
            </w:r>
            <w:r>
              <w:rPr>
                <w:rFonts w:cs="仿宋" w:hint="eastAsia"/>
                <w:b/>
                <w:color w:val="000000"/>
                <w:kern w:val="0"/>
                <w:sz w:val="24"/>
                <w:szCs w:val="24"/>
              </w:rPr>
              <w:t>）</w:t>
            </w:r>
          </w:p>
        </w:tc>
        <w:tc>
          <w:tcPr>
            <w:tcW w:w="6036" w:type="dxa"/>
            <w:gridSpan w:val="13"/>
            <w:vAlign w:val="center"/>
          </w:tcPr>
          <w:p w:rsidR="002F3CF7" w:rsidRDefault="009F520F">
            <w:pPr>
              <w:widowControl/>
              <w:jc w:val="center"/>
              <w:textAlignment w:val="center"/>
              <w:rPr>
                <w:rFonts w:cs="仿宋"/>
                <w:b/>
                <w:color w:val="000000"/>
                <w:sz w:val="24"/>
                <w:szCs w:val="24"/>
              </w:rPr>
            </w:pPr>
            <w:r>
              <w:rPr>
                <w:rFonts w:cs="仿宋" w:hint="eastAsia"/>
                <w:b/>
                <w:color w:val="000000"/>
                <w:kern w:val="0"/>
                <w:sz w:val="24"/>
                <w:szCs w:val="24"/>
              </w:rPr>
              <w:t>专业类（</w:t>
            </w:r>
            <w:r>
              <w:rPr>
                <w:rFonts w:cs="仿宋" w:hint="eastAsia"/>
                <w:b/>
                <w:color w:val="000000"/>
                <w:kern w:val="0"/>
                <w:sz w:val="24"/>
                <w:szCs w:val="24"/>
              </w:rPr>
              <w:t>P</w:t>
            </w:r>
            <w:r>
              <w:rPr>
                <w:rFonts w:cs="仿宋" w:hint="eastAsia"/>
                <w:b/>
                <w:color w:val="000000"/>
                <w:kern w:val="0"/>
                <w:sz w:val="24"/>
                <w:szCs w:val="24"/>
              </w:rPr>
              <w:t>）</w:t>
            </w:r>
          </w:p>
        </w:tc>
        <w:tc>
          <w:tcPr>
            <w:tcW w:w="751" w:type="dxa"/>
            <w:vAlign w:val="center"/>
          </w:tcPr>
          <w:p w:rsidR="002F3CF7" w:rsidRDefault="009F520F">
            <w:pPr>
              <w:widowControl/>
              <w:jc w:val="center"/>
              <w:textAlignment w:val="center"/>
              <w:rPr>
                <w:rFonts w:cs="仿宋"/>
                <w:b/>
                <w:color w:val="000000"/>
                <w:sz w:val="24"/>
                <w:szCs w:val="24"/>
              </w:rPr>
            </w:pPr>
            <w:r>
              <w:rPr>
                <w:rFonts w:cs="仿宋" w:hint="eastAsia"/>
                <w:b/>
                <w:color w:val="000000"/>
                <w:kern w:val="0"/>
                <w:sz w:val="24"/>
                <w:szCs w:val="24"/>
              </w:rPr>
              <w:t>项目经理类（</w:t>
            </w:r>
            <w:r>
              <w:rPr>
                <w:rFonts w:cs="仿宋" w:hint="eastAsia"/>
                <w:b/>
                <w:color w:val="000000"/>
                <w:kern w:val="0"/>
                <w:sz w:val="24"/>
                <w:szCs w:val="24"/>
              </w:rPr>
              <w:t>PM</w:t>
            </w:r>
            <w:r>
              <w:rPr>
                <w:rFonts w:cs="仿宋" w:hint="eastAsia"/>
                <w:b/>
                <w:color w:val="000000"/>
                <w:kern w:val="0"/>
                <w:sz w:val="24"/>
                <w:szCs w:val="24"/>
              </w:rPr>
              <w:t>）</w:t>
            </w:r>
          </w:p>
        </w:tc>
        <w:tc>
          <w:tcPr>
            <w:tcW w:w="591" w:type="dxa"/>
            <w:vAlign w:val="center"/>
          </w:tcPr>
          <w:p w:rsidR="002F3CF7" w:rsidRDefault="009F520F">
            <w:pPr>
              <w:widowControl/>
              <w:jc w:val="left"/>
              <w:textAlignment w:val="center"/>
              <w:rPr>
                <w:rFonts w:cs="仿宋"/>
                <w:b/>
                <w:color w:val="000000"/>
                <w:sz w:val="24"/>
                <w:szCs w:val="24"/>
              </w:rPr>
            </w:pPr>
            <w:r>
              <w:rPr>
                <w:rFonts w:cs="仿宋" w:hint="eastAsia"/>
                <w:b/>
                <w:color w:val="000000"/>
                <w:kern w:val="0"/>
                <w:sz w:val="24"/>
                <w:szCs w:val="24"/>
              </w:rPr>
              <w:t>技能类（</w:t>
            </w:r>
            <w:r>
              <w:rPr>
                <w:rFonts w:cs="仿宋" w:hint="eastAsia"/>
                <w:b/>
                <w:color w:val="000000"/>
                <w:kern w:val="0"/>
                <w:sz w:val="24"/>
                <w:szCs w:val="24"/>
              </w:rPr>
              <w:t>O</w:t>
            </w:r>
            <w:r>
              <w:rPr>
                <w:rFonts w:cs="仿宋" w:hint="eastAsia"/>
                <w:b/>
                <w:color w:val="000000"/>
                <w:kern w:val="0"/>
                <w:sz w:val="24"/>
                <w:szCs w:val="24"/>
              </w:rPr>
              <w:t>）</w:t>
            </w:r>
          </w:p>
        </w:tc>
      </w:tr>
      <w:tr w:rsidR="002F3CF7" w:rsidTr="00284DEA">
        <w:trPr>
          <w:trHeight w:val="1950"/>
          <w:jc w:val="center"/>
        </w:trPr>
        <w:tc>
          <w:tcPr>
            <w:tcW w:w="521" w:type="dxa"/>
            <w:textDirection w:val="tbRlV"/>
            <w:vAlign w:val="center"/>
          </w:tcPr>
          <w:p w:rsidR="002F3CF7" w:rsidRDefault="009F520F">
            <w:pPr>
              <w:widowControl/>
              <w:ind w:left="113" w:right="113"/>
              <w:jc w:val="center"/>
              <w:textAlignment w:val="center"/>
              <w:rPr>
                <w:rFonts w:cs="仿宋"/>
                <w:b/>
                <w:color w:val="000000"/>
                <w:sz w:val="24"/>
                <w:szCs w:val="24"/>
              </w:rPr>
            </w:pPr>
            <w:r>
              <w:rPr>
                <w:rFonts w:cs="仿宋" w:hint="eastAsia"/>
                <w:b/>
                <w:color w:val="000000"/>
                <w:kern w:val="0"/>
                <w:sz w:val="24"/>
                <w:szCs w:val="24"/>
              </w:rPr>
              <w:t>序列</w:t>
            </w:r>
          </w:p>
        </w:tc>
        <w:tc>
          <w:tcPr>
            <w:tcW w:w="496"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管理</w:t>
            </w:r>
          </w:p>
        </w:tc>
        <w:tc>
          <w:tcPr>
            <w:tcW w:w="488"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顾问</w:t>
            </w:r>
          </w:p>
        </w:tc>
        <w:tc>
          <w:tcPr>
            <w:tcW w:w="548"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战略与运营</w:t>
            </w:r>
          </w:p>
        </w:tc>
        <w:tc>
          <w:tcPr>
            <w:tcW w:w="482"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财务资金与审计</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人力资源管理</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政工管理</w:t>
            </w:r>
          </w:p>
        </w:tc>
        <w:tc>
          <w:tcPr>
            <w:tcW w:w="456"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行政管理</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法律事务</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信息技术</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市场营销</w:t>
            </w:r>
          </w:p>
        </w:tc>
        <w:tc>
          <w:tcPr>
            <w:tcW w:w="456"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科技质量</w:t>
            </w:r>
          </w:p>
        </w:tc>
        <w:tc>
          <w:tcPr>
            <w:tcW w:w="454"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商务管理</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投资管理</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生产安全</w:t>
            </w:r>
          </w:p>
        </w:tc>
        <w:tc>
          <w:tcPr>
            <w:tcW w:w="455"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物资采购</w:t>
            </w:r>
          </w:p>
        </w:tc>
        <w:tc>
          <w:tcPr>
            <w:tcW w:w="751"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项目经理</w:t>
            </w:r>
          </w:p>
        </w:tc>
        <w:tc>
          <w:tcPr>
            <w:tcW w:w="591" w:type="dxa"/>
            <w:textDirection w:val="tbRlV"/>
            <w:vAlign w:val="center"/>
          </w:tcPr>
          <w:p w:rsidR="002F3CF7" w:rsidRDefault="009F520F">
            <w:pPr>
              <w:widowControl/>
              <w:ind w:left="113" w:right="113"/>
              <w:jc w:val="center"/>
              <w:textAlignment w:val="center"/>
              <w:rPr>
                <w:rFonts w:cs="仿宋"/>
                <w:color w:val="000000"/>
                <w:sz w:val="24"/>
                <w:szCs w:val="24"/>
              </w:rPr>
            </w:pPr>
            <w:r>
              <w:rPr>
                <w:rFonts w:cs="仿宋" w:hint="eastAsia"/>
                <w:color w:val="000000"/>
                <w:kern w:val="0"/>
                <w:sz w:val="24"/>
                <w:szCs w:val="24"/>
              </w:rPr>
              <w:t>技能序列</w:t>
            </w:r>
          </w:p>
        </w:tc>
      </w:tr>
    </w:tbl>
    <w:p w:rsidR="002F3CF7" w:rsidRPr="00D47E40" w:rsidRDefault="009F520F" w:rsidP="00D47E40">
      <w:pPr>
        <w:ind w:firstLineChars="200" w:firstLine="562"/>
        <w:rPr>
          <w:rFonts w:cs="仿宋"/>
          <w:b/>
        </w:rPr>
      </w:pPr>
      <w:r w:rsidRPr="00D47E40">
        <w:rPr>
          <w:rFonts w:cs="仿宋" w:hint="eastAsia"/>
          <w:b/>
        </w:rPr>
        <w:t>4</w:t>
      </w:r>
      <w:r w:rsidRPr="00D47E40">
        <w:rPr>
          <w:rFonts w:cs="仿宋" w:hint="eastAsia"/>
          <w:b/>
        </w:rPr>
        <w:t>．全方位的人才培养体系</w:t>
      </w:r>
    </w:p>
    <w:p w:rsidR="002F3CF7" w:rsidRDefault="009F520F" w:rsidP="00D47E40">
      <w:pPr>
        <w:numPr>
          <w:ilvl w:val="0"/>
          <w:numId w:val="2"/>
        </w:numPr>
        <w:ind w:left="0" w:firstLineChars="200" w:firstLine="560"/>
        <w:rPr>
          <w:rFonts w:cs="仿宋"/>
        </w:rPr>
      </w:pPr>
      <w:r>
        <w:rPr>
          <w:rFonts w:cs="仿宋" w:hint="eastAsia"/>
        </w:rPr>
        <w:t>引导式入职培训：系统传授行业全流程知识</w:t>
      </w:r>
      <w:r w:rsidR="00284DEA">
        <w:rPr>
          <w:rFonts w:cs="仿宋" w:hint="eastAsia"/>
        </w:rPr>
        <w:t>；</w:t>
      </w:r>
    </w:p>
    <w:p w:rsidR="002F3CF7" w:rsidRDefault="009F520F" w:rsidP="00D47E40">
      <w:pPr>
        <w:numPr>
          <w:ilvl w:val="0"/>
          <w:numId w:val="2"/>
        </w:numPr>
        <w:ind w:left="0" w:firstLineChars="200" w:firstLine="560"/>
        <w:rPr>
          <w:rFonts w:cs="仿宋"/>
        </w:rPr>
      </w:pPr>
      <w:r>
        <w:rPr>
          <w:rFonts w:cs="仿宋" w:hint="eastAsia"/>
        </w:rPr>
        <w:t>导师制见习培养：</w:t>
      </w:r>
      <w:r w:rsidR="00284DEA">
        <w:rPr>
          <w:rFonts w:cs="仿宋" w:hint="eastAsia"/>
        </w:rPr>
        <w:t>“一人一册”人才培养计划；</w:t>
      </w:r>
    </w:p>
    <w:p w:rsidR="002F3CF7" w:rsidRDefault="009F520F" w:rsidP="00D47E40">
      <w:pPr>
        <w:numPr>
          <w:ilvl w:val="0"/>
          <w:numId w:val="2"/>
        </w:numPr>
        <w:ind w:left="0" w:firstLineChars="200" w:firstLine="560"/>
        <w:rPr>
          <w:rFonts w:cs="仿宋"/>
        </w:rPr>
      </w:pPr>
      <w:r>
        <w:rPr>
          <w:rFonts w:cs="仿宋" w:hint="eastAsia"/>
        </w:rPr>
        <w:t>针对性岗位培训：</w:t>
      </w:r>
      <w:r>
        <w:rPr>
          <w:rFonts w:cs="仿宋" w:hint="eastAsia"/>
        </w:rPr>
        <w:t>覆盖全员的岗位技能培训、后备干部人才培训</w:t>
      </w:r>
      <w:r>
        <w:rPr>
          <w:rFonts w:cs="仿宋" w:hint="eastAsia"/>
        </w:rPr>
        <w:t>；</w:t>
      </w:r>
    </w:p>
    <w:p w:rsidR="002F3CF7" w:rsidRDefault="009F520F" w:rsidP="00D47E40">
      <w:pPr>
        <w:numPr>
          <w:ilvl w:val="0"/>
          <w:numId w:val="2"/>
        </w:numPr>
        <w:ind w:left="0" w:firstLineChars="200" w:firstLine="560"/>
        <w:rPr>
          <w:rFonts w:cs="仿宋"/>
        </w:rPr>
      </w:pPr>
      <w:r>
        <w:rPr>
          <w:rFonts w:cs="仿宋" w:hint="eastAsia"/>
        </w:rPr>
        <w:t>体验式轮岗培训：定期挂职轮岗锻炼，提供快速成长平台</w:t>
      </w:r>
      <w:r>
        <w:rPr>
          <w:rFonts w:cs="仿宋" w:hint="eastAsia"/>
        </w:rPr>
        <w:t>；</w:t>
      </w:r>
    </w:p>
    <w:p w:rsidR="002F3CF7" w:rsidRDefault="009F520F" w:rsidP="00D47E40">
      <w:pPr>
        <w:numPr>
          <w:ilvl w:val="0"/>
          <w:numId w:val="2"/>
        </w:numPr>
        <w:ind w:left="0" w:firstLineChars="200" w:firstLine="560"/>
        <w:rPr>
          <w:rFonts w:cs="仿宋"/>
        </w:rPr>
      </w:pPr>
      <w:proofErr w:type="gramStart"/>
      <w:r>
        <w:rPr>
          <w:rFonts w:cs="仿宋" w:hint="eastAsia"/>
        </w:rPr>
        <w:t>福利式进阶</w:t>
      </w:r>
      <w:proofErr w:type="gramEnd"/>
      <w:r>
        <w:rPr>
          <w:rFonts w:cs="仿宋" w:hint="eastAsia"/>
        </w:rPr>
        <w:t>培训：免费提供知识更新培训、职称考试培训；</w:t>
      </w:r>
      <w:r w:rsidR="00284DEA">
        <w:rPr>
          <w:rFonts w:cs="仿宋"/>
        </w:rPr>
        <w:t xml:space="preserve"> </w:t>
      </w:r>
    </w:p>
    <w:p w:rsidR="002F3CF7" w:rsidRDefault="009F520F" w:rsidP="00D47E40">
      <w:pPr>
        <w:numPr>
          <w:ilvl w:val="0"/>
          <w:numId w:val="2"/>
        </w:numPr>
        <w:ind w:left="0" w:firstLineChars="200" w:firstLine="560"/>
        <w:rPr>
          <w:rFonts w:cs="仿宋"/>
        </w:rPr>
      </w:pPr>
      <w:r>
        <w:rPr>
          <w:rFonts w:cs="仿宋" w:hint="eastAsia"/>
        </w:rPr>
        <w:t>人性化调配机制</w:t>
      </w:r>
      <w:r w:rsidR="00284DEA">
        <w:rPr>
          <w:rFonts w:cs="仿宋" w:hint="eastAsia"/>
        </w:rPr>
        <w:t>：</w:t>
      </w:r>
      <w:r>
        <w:rPr>
          <w:rFonts w:cs="仿宋" w:hint="eastAsia"/>
        </w:rPr>
        <w:t>兼顾员工</w:t>
      </w:r>
      <w:r w:rsidR="00D47E40">
        <w:rPr>
          <w:rFonts w:cs="仿宋" w:hint="eastAsia"/>
        </w:rPr>
        <w:t>需求</w:t>
      </w:r>
      <w:r>
        <w:rPr>
          <w:rFonts w:cs="仿宋" w:hint="eastAsia"/>
        </w:rPr>
        <w:t>的人性化工作调配机制</w:t>
      </w:r>
      <w:r w:rsidR="00D47E40">
        <w:rPr>
          <w:rFonts w:cs="仿宋" w:hint="eastAsia"/>
        </w:rPr>
        <w:t>。</w:t>
      </w:r>
    </w:p>
    <w:p w:rsidR="002F3CF7" w:rsidRPr="00D47E40" w:rsidRDefault="009F520F" w:rsidP="00D47E40">
      <w:pPr>
        <w:ind w:firstLineChars="200" w:firstLine="562"/>
        <w:rPr>
          <w:rFonts w:cs="仿宋"/>
          <w:b/>
        </w:rPr>
      </w:pPr>
      <w:r w:rsidRPr="00D47E40">
        <w:rPr>
          <w:rFonts w:cs="仿宋" w:hint="eastAsia"/>
          <w:b/>
        </w:rPr>
        <w:t>5</w:t>
      </w:r>
      <w:r w:rsidRPr="00D47E40">
        <w:rPr>
          <w:rFonts w:cs="仿宋" w:hint="eastAsia"/>
          <w:b/>
        </w:rPr>
        <w:t>．以人为本的企业文化</w:t>
      </w:r>
    </w:p>
    <w:p w:rsidR="002F3CF7" w:rsidRDefault="009F520F" w:rsidP="00D47E40">
      <w:pPr>
        <w:numPr>
          <w:ilvl w:val="0"/>
          <w:numId w:val="4"/>
        </w:numPr>
        <w:ind w:left="0" w:firstLineChars="200" w:firstLine="560"/>
      </w:pPr>
      <w:r>
        <w:rPr>
          <w:rFonts w:hint="eastAsia"/>
        </w:rPr>
        <w:t>年轻活力的事业团队：员工平均年龄</w:t>
      </w:r>
      <w:r>
        <w:rPr>
          <w:rFonts w:hint="eastAsia"/>
        </w:rPr>
        <w:t>37</w:t>
      </w:r>
      <w:r>
        <w:rPr>
          <w:rFonts w:hint="eastAsia"/>
        </w:rPr>
        <w:t>岁</w:t>
      </w:r>
      <w:r>
        <w:rPr>
          <w:rFonts w:hint="eastAsia"/>
        </w:rPr>
        <w:t>，</w:t>
      </w:r>
      <w:r>
        <w:rPr>
          <w:rFonts w:hint="eastAsia"/>
        </w:rPr>
        <w:t>管理人员中</w:t>
      </w:r>
      <w:r>
        <w:rPr>
          <w:rFonts w:hint="eastAsia"/>
        </w:rPr>
        <w:t>35</w:t>
      </w:r>
      <w:r>
        <w:rPr>
          <w:rFonts w:hint="eastAsia"/>
        </w:rPr>
        <w:t>岁以下占比</w:t>
      </w:r>
      <w:r>
        <w:rPr>
          <w:rFonts w:hint="eastAsia"/>
        </w:rPr>
        <w:t>49</w:t>
      </w:r>
      <w:r>
        <w:rPr>
          <w:rFonts w:hint="eastAsia"/>
        </w:rPr>
        <w:t>%</w:t>
      </w:r>
      <w:r>
        <w:rPr>
          <w:rFonts w:hint="eastAsia"/>
        </w:rPr>
        <w:t>；</w:t>
      </w:r>
    </w:p>
    <w:p w:rsidR="002F3CF7" w:rsidRDefault="009F520F" w:rsidP="00D47E40">
      <w:pPr>
        <w:numPr>
          <w:ilvl w:val="0"/>
          <w:numId w:val="4"/>
        </w:numPr>
        <w:ind w:left="0" w:firstLineChars="200" w:firstLine="560"/>
        <w:rPr>
          <w:rFonts w:cs="仿宋" w:hint="eastAsia"/>
        </w:rPr>
      </w:pPr>
      <w:r>
        <w:rPr>
          <w:rFonts w:cs="仿宋" w:hint="eastAsia"/>
        </w:rPr>
        <w:t>温馨和谐的企业氛围：文体室、健身房、咖啡区、母婴室等</w:t>
      </w:r>
      <w:r>
        <w:rPr>
          <w:rFonts w:cs="仿宋" w:hint="eastAsia"/>
        </w:rPr>
        <w:t>配套设施齐全；篮球、足球、游泳、瑜伽等</w:t>
      </w:r>
      <w:r>
        <w:rPr>
          <w:rFonts w:cs="仿宋" w:hint="eastAsia"/>
        </w:rPr>
        <w:t>文体运动丰富；踏青、观影、联谊、文艺汇演等业余生活充实</w:t>
      </w:r>
      <w:r>
        <w:rPr>
          <w:rFonts w:cs="仿宋" w:hint="eastAsia"/>
        </w:rPr>
        <w:t>；</w:t>
      </w:r>
    </w:p>
    <w:p w:rsidR="00120879" w:rsidRDefault="00120879" w:rsidP="00D47E40">
      <w:pPr>
        <w:numPr>
          <w:ilvl w:val="0"/>
          <w:numId w:val="4"/>
        </w:numPr>
        <w:ind w:left="0" w:firstLineChars="200" w:firstLine="560"/>
        <w:rPr>
          <w:rFonts w:cs="仿宋"/>
        </w:rPr>
      </w:pPr>
      <w:r>
        <w:rPr>
          <w:rFonts w:cs="仿宋" w:hint="eastAsia"/>
        </w:rPr>
        <w:t>开放包容的企业文化：兼容并蓄的吸收外资企业优良基因和国企传统文化；</w:t>
      </w:r>
    </w:p>
    <w:p w:rsidR="002F3CF7" w:rsidRPr="00120879" w:rsidRDefault="009F520F" w:rsidP="00D47E40">
      <w:pPr>
        <w:numPr>
          <w:ilvl w:val="0"/>
          <w:numId w:val="4"/>
        </w:numPr>
        <w:ind w:left="0" w:firstLineChars="200" w:firstLine="560"/>
        <w:rPr>
          <w:rFonts w:cs="仿宋"/>
        </w:rPr>
      </w:pPr>
      <w:r>
        <w:rPr>
          <w:rFonts w:cs="仿宋" w:hint="eastAsia"/>
        </w:rPr>
        <w:t>不忘初心的国企担当：走访慰问助力精准扶贫、开展助学圆</w:t>
      </w:r>
      <w:r w:rsidR="00120879">
        <w:rPr>
          <w:rFonts w:cs="仿宋" w:hint="eastAsia"/>
        </w:rPr>
        <w:t>梦</w:t>
      </w:r>
      <w:r>
        <w:rPr>
          <w:rFonts w:cs="仿宋" w:hint="eastAsia"/>
        </w:rPr>
        <w:t>学子、</w:t>
      </w:r>
      <w:r>
        <w:rPr>
          <w:rFonts w:cs="仿宋" w:hint="eastAsia"/>
        </w:rPr>
        <w:t>志愿服务热心公益</w:t>
      </w:r>
      <w:r w:rsidR="00120879">
        <w:rPr>
          <w:rFonts w:cs="仿宋" w:hint="eastAsia"/>
        </w:rPr>
        <w:t>以及各类“急难新险重”项目的勇挑重担。</w:t>
      </w:r>
      <w:r w:rsidRPr="00120879">
        <w:rPr>
          <w:rFonts w:cs="仿宋" w:hint="eastAsia"/>
        </w:rPr>
        <w:br w:type="page"/>
      </w:r>
    </w:p>
    <w:p w:rsidR="002F3CF7" w:rsidRDefault="009F520F">
      <w:pPr>
        <w:pStyle w:val="2"/>
        <w:rPr>
          <w:rFonts w:ascii="仿宋" w:hAnsi="仿宋" w:cs="仿宋"/>
        </w:rPr>
      </w:pPr>
      <w:r>
        <w:rPr>
          <w:rFonts w:ascii="仿宋" w:hAnsi="仿宋" w:cs="仿宋" w:hint="eastAsia"/>
        </w:rPr>
        <w:lastRenderedPageBreak/>
        <w:t>三、岗位需求</w:t>
      </w:r>
    </w:p>
    <w:p w:rsidR="002F3CF7" w:rsidRPr="006E1774" w:rsidRDefault="009F520F" w:rsidP="006E1774">
      <w:pPr>
        <w:spacing w:line="360" w:lineRule="auto"/>
        <w:ind w:firstLineChars="200" w:firstLine="562"/>
        <w:rPr>
          <w:rFonts w:cs="仿宋"/>
          <w:b/>
          <w:szCs w:val="21"/>
        </w:rPr>
      </w:pPr>
      <w:r w:rsidRPr="006E1774">
        <w:rPr>
          <w:rFonts w:cs="仿宋" w:hint="eastAsia"/>
          <w:b/>
          <w:szCs w:val="21"/>
        </w:rPr>
        <w:t>1</w:t>
      </w:r>
      <w:r w:rsidRPr="006E1774">
        <w:rPr>
          <w:rFonts w:cs="仿宋" w:hint="eastAsia"/>
          <w:b/>
          <w:szCs w:val="21"/>
        </w:rPr>
        <w:t>、招聘对象：</w:t>
      </w:r>
    </w:p>
    <w:p w:rsidR="002F3CF7" w:rsidRDefault="009F520F" w:rsidP="00BB4511">
      <w:pPr>
        <w:ind w:firstLineChars="200" w:firstLine="560"/>
        <w:rPr>
          <w:rFonts w:cs="仿宋"/>
        </w:rPr>
      </w:pPr>
      <w:r>
        <w:rPr>
          <w:rFonts w:cs="仿宋" w:hint="eastAsia"/>
        </w:rPr>
        <w:t>2023</w:t>
      </w:r>
      <w:r>
        <w:rPr>
          <w:rFonts w:cs="仿宋" w:hint="eastAsia"/>
        </w:rPr>
        <w:t>届应届毕业生（本科生、硕士研究生、博士研究生）。</w:t>
      </w:r>
    </w:p>
    <w:p w:rsidR="002F3CF7" w:rsidRPr="006E1774" w:rsidRDefault="009F520F" w:rsidP="006E1774">
      <w:pPr>
        <w:spacing w:line="360" w:lineRule="auto"/>
        <w:ind w:firstLineChars="200" w:firstLine="562"/>
        <w:rPr>
          <w:rFonts w:cs="仿宋"/>
          <w:b/>
          <w:szCs w:val="21"/>
        </w:rPr>
      </w:pPr>
      <w:r w:rsidRPr="006E1774">
        <w:rPr>
          <w:rFonts w:cs="仿宋" w:hint="eastAsia"/>
          <w:b/>
          <w:szCs w:val="21"/>
        </w:rPr>
        <w:t>2</w:t>
      </w:r>
      <w:r w:rsidRPr="006E1774">
        <w:rPr>
          <w:rFonts w:cs="仿宋" w:hint="eastAsia"/>
          <w:b/>
          <w:szCs w:val="21"/>
        </w:rPr>
        <w:t>、专业</w:t>
      </w:r>
      <w:r w:rsidRPr="006E1774">
        <w:rPr>
          <w:rFonts w:cs="仿宋" w:hint="eastAsia"/>
          <w:b/>
          <w:szCs w:val="21"/>
        </w:rPr>
        <w:t>要求：</w:t>
      </w:r>
    </w:p>
    <w:tbl>
      <w:tblPr>
        <w:tblStyle w:val="a9"/>
        <w:tblpPr w:leftFromText="180" w:rightFromText="180" w:vertAnchor="text" w:horzAnchor="page" w:tblpXSpec="center" w:tblpY="346"/>
        <w:tblW w:w="9326" w:type="dxa"/>
        <w:tblLayout w:type="fixed"/>
        <w:tblLook w:val="04A0" w:firstRow="1" w:lastRow="0" w:firstColumn="1" w:lastColumn="0" w:noHBand="0" w:noVBand="1"/>
      </w:tblPr>
      <w:tblGrid>
        <w:gridCol w:w="1432"/>
        <w:gridCol w:w="2631"/>
        <w:gridCol w:w="2631"/>
        <w:gridCol w:w="2632"/>
      </w:tblGrid>
      <w:tr w:rsidR="002F3CF7" w:rsidTr="00BB4511">
        <w:trPr>
          <w:trHeight w:val="271"/>
        </w:trPr>
        <w:tc>
          <w:tcPr>
            <w:tcW w:w="1432" w:type="dxa"/>
          </w:tcPr>
          <w:p w:rsidR="002F3CF7" w:rsidRPr="00BB4511" w:rsidRDefault="009F520F" w:rsidP="00BB4511">
            <w:pPr>
              <w:pStyle w:val="11"/>
              <w:jc w:val="center"/>
              <w:rPr>
                <w:rFonts w:ascii="仿宋" w:eastAsia="仿宋" w:hAnsi="仿宋" w:cs="仿宋"/>
                <w:b/>
                <w:kern w:val="0"/>
                <w:sz w:val="24"/>
                <w:szCs w:val="24"/>
              </w:rPr>
            </w:pPr>
            <w:r w:rsidRPr="00BB4511">
              <w:rPr>
                <w:rFonts w:ascii="仿宋" w:eastAsia="仿宋" w:hAnsi="仿宋" w:cs="仿宋" w:hint="eastAsia"/>
                <w:b/>
                <w:kern w:val="0"/>
                <w:sz w:val="24"/>
                <w:szCs w:val="24"/>
              </w:rPr>
              <w:t>类别</w:t>
            </w:r>
          </w:p>
        </w:tc>
        <w:tc>
          <w:tcPr>
            <w:tcW w:w="2631" w:type="dxa"/>
          </w:tcPr>
          <w:p w:rsidR="002F3CF7" w:rsidRPr="00BB4511" w:rsidRDefault="009F520F" w:rsidP="00BB4511">
            <w:pPr>
              <w:pStyle w:val="11"/>
              <w:jc w:val="center"/>
              <w:rPr>
                <w:rFonts w:ascii="仿宋" w:eastAsia="仿宋" w:hAnsi="仿宋" w:cs="仿宋"/>
                <w:b/>
                <w:kern w:val="0"/>
                <w:sz w:val="24"/>
                <w:szCs w:val="24"/>
              </w:rPr>
            </w:pPr>
            <w:r w:rsidRPr="00BB4511">
              <w:rPr>
                <w:rFonts w:ascii="仿宋" w:eastAsia="仿宋" w:hAnsi="仿宋" w:cs="仿宋" w:hint="eastAsia"/>
                <w:b/>
                <w:kern w:val="0"/>
                <w:sz w:val="24"/>
                <w:szCs w:val="24"/>
              </w:rPr>
              <w:t>工程技术类</w:t>
            </w:r>
          </w:p>
        </w:tc>
        <w:tc>
          <w:tcPr>
            <w:tcW w:w="2631" w:type="dxa"/>
          </w:tcPr>
          <w:p w:rsidR="002F3CF7" w:rsidRPr="00BB4511" w:rsidRDefault="009F520F" w:rsidP="00BB4511">
            <w:pPr>
              <w:pStyle w:val="11"/>
              <w:jc w:val="center"/>
              <w:rPr>
                <w:rFonts w:ascii="仿宋" w:eastAsia="仿宋" w:hAnsi="仿宋" w:cs="仿宋"/>
                <w:b/>
                <w:kern w:val="0"/>
                <w:sz w:val="24"/>
                <w:szCs w:val="24"/>
              </w:rPr>
            </w:pPr>
            <w:r w:rsidRPr="00BB4511">
              <w:rPr>
                <w:rFonts w:ascii="仿宋" w:eastAsia="仿宋" w:hAnsi="仿宋" w:cs="仿宋" w:hint="eastAsia"/>
                <w:b/>
                <w:kern w:val="0"/>
                <w:sz w:val="24"/>
                <w:szCs w:val="24"/>
              </w:rPr>
              <w:t>综合职能类</w:t>
            </w:r>
          </w:p>
        </w:tc>
        <w:tc>
          <w:tcPr>
            <w:tcW w:w="2632" w:type="dxa"/>
          </w:tcPr>
          <w:p w:rsidR="002F3CF7" w:rsidRPr="00BB4511" w:rsidRDefault="009F520F" w:rsidP="00BB4511">
            <w:pPr>
              <w:pStyle w:val="11"/>
              <w:jc w:val="center"/>
              <w:rPr>
                <w:rFonts w:ascii="仿宋" w:eastAsia="仿宋" w:hAnsi="仿宋" w:cs="仿宋"/>
                <w:b/>
                <w:kern w:val="0"/>
                <w:sz w:val="24"/>
                <w:szCs w:val="24"/>
              </w:rPr>
            </w:pPr>
            <w:r w:rsidRPr="00BB4511">
              <w:rPr>
                <w:rFonts w:ascii="仿宋" w:eastAsia="仿宋" w:hAnsi="仿宋" w:cs="仿宋" w:hint="eastAsia"/>
                <w:b/>
                <w:kern w:val="0"/>
                <w:sz w:val="24"/>
                <w:szCs w:val="24"/>
              </w:rPr>
              <w:t>科技中心研发岗</w:t>
            </w:r>
          </w:p>
        </w:tc>
      </w:tr>
      <w:tr w:rsidR="002F3CF7" w:rsidTr="00BB4511">
        <w:trPr>
          <w:trHeight w:val="2044"/>
        </w:trPr>
        <w:tc>
          <w:tcPr>
            <w:tcW w:w="1432" w:type="dxa"/>
          </w:tcPr>
          <w:p w:rsidR="002F3CF7" w:rsidRPr="00BB4511" w:rsidRDefault="009F520F" w:rsidP="00BB4511">
            <w:pPr>
              <w:pStyle w:val="11"/>
              <w:jc w:val="center"/>
              <w:rPr>
                <w:rFonts w:ascii="仿宋" w:eastAsia="仿宋" w:hAnsi="仿宋" w:cs="仿宋"/>
                <w:b/>
                <w:bCs/>
                <w:kern w:val="0"/>
                <w:sz w:val="24"/>
                <w:szCs w:val="24"/>
              </w:rPr>
            </w:pPr>
            <w:r w:rsidRPr="00BB4511">
              <w:rPr>
                <w:rFonts w:ascii="仿宋" w:eastAsia="仿宋" w:hAnsi="仿宋" w:cs="仿宋" w:hint="eastAsia"/>
                <w:b/>
                <w:bCs/>
                <w:kern w:val="0"/>
                <w:sz w:val="24"/>
                <w:szCs w:val="24"/>
              </w:rPr>
              <w:t>专业要求</w:t>
            </w:r>
          </w:p>
        </w:tc>
        <w:tc>
          <w:tcPr>
            <w:tcW w:w="2631" w:type="dxa"/>
          </w:tcPr>
          <w:p w:rsidR="002F3CF7" w:rsidRDefault="009F520F" w:rsidP="00BB4511">
            <w:pPr>
              <w:pStyle w:val="11"/>
              <w:rPr>
                <w:rFonts w:ascii="仿宋" w:eastAsia="仿宋" w:hAnsi="仿宋" w:cs="仿宋"/>
              </w:rPr>
            </w:pPr>
            <w:r>
              <w:rPr>
                <w:rFonts w:ascii="仿宋" w:eastAsia="仿宋" w:hAnsi="仿宋" w:cs="仿宋" w:hint="eastAsia"/>
                <w:kern w:val="0"/>
                <w:sz w:val="20"/>
              </w:rPr>
              <w:t>工程力学、机械工程、电气工程、土木工程、水利工程、测绘工程、地质工程、采矿工程、安全技术工程、交通运输工程、环境工程、工程管理、暖通、给排水科学与工程、建筑环境与设备工程、计算机科学与技术等相关专业</w:t>
            </w:r>
          </w:p>
        </w:tc>
        <w:tc>
          <w:tcPr>
            <w:tcW w:w="2631" w:type="dxa"/>
          </w:tcPr>
          <w:p w:rsidR="002F3CF7" w:rsidRDefault="009F520F" w:rsidP="00BB4511">
            <w:pPr>
              <w:pStyle w:val="11"/>
              <w:rPr>
                <w:rFonts w:ascii="仿宋" w:eastAsia="仿宋" w:hAnsi="仿宋" w:cs="仿宋"/>
              </w:rPr>
            </w:pPr>
            <w:r>
              <w:rPr>
                <w:rFonts w:ascii="仿宋" w:eastAsia="仿宋" w:hAnsi="仿宋" w:cs="仿宋" w:hint="eastAsia"/>
                <w:kern w:val="0"/>
                <w:sz w:val="20"/>
              </w:rPr>
              <w:t>哲学、经济学、法学、文学、管理学、金融、税务、会计、市场营销、人力资源管理等相关专业</w:t>
            </w:r>
          </w:p>
        </w:tc>
        <w:tc>
          <w:tcPr>
            <w:tcW w:w="2632" w:type="dxa"/>
          </w:tcPr>
          <w:p w:rsidR="002F3CF7" w:rsidRDefault="009F520F" w:rsidP="00BB4511">
            <w:pPr>
              <w:pStyle w:val="11"/>
              <w:rPr>
                <w:rFonts w:ascii="仿宋" w:eastAsia="仿宋" w:hAnsi="仿宋" w:cs="仿宋"/>
              </w:rPr>
            </w:pPr>
            <w:r>
              <w:rPr>
                <w:rFonts w:ascii="仿宋" w:eastAsia="仿宋" w:hAnsi="仿宋" w:cs="仿宋" w:hint="eastAsia"/>
                <w:kern w:val="0"/>
                <w:sz w:val="20"/>
              </w:rPr>
              <w:t>工程力学、机械工程、电气工程、土木工程、计算机科学与技术、信息与通信工程、控制科学与工程、交通运输工程等相关专业</w:t>
            </w:r>
          </w:p>
        </w:tc>
      </w:tr>
      <w:tr w:rsidR="002F3CF7" w:rsidTr="00BB4511">
        <w:trPr>
          <w:trHeight w:val="328"/>
        </w:trPr>
        <w:tc>
          <w:tcPr>
            <w:tcW w:w="1432" w:type="dxa"/>
          </w:tcPr>
          <w:p w:rsidR="002F3CF7" w:rsidRPr="00BB4511" w:rsidRDefault="009F520F" w:rsidP="00BB4511">
            <w:pPr>
              <w:pStyle w:val="11"/>
              <w:jc w:val="center"/>
              <w:rPr>
                <w:rFonts w:ascii="仿宋" w:eastAsia="仿宋" w:hAnsi="仿宋" w:cs="仿宋"/>
                <w:b/>
                <w:bCs/>
                <w:kern w:val="0"/>
                <w:sz w:val="24"/>
                <w:szCs w:val="24"/>
              </w:rPr>
            </w:pPr>
            <w:r w:rsidRPr="00BB4511">
              <w:rPr>
                <w:rFonts w:ascii="仿宋" w:eastAsia="仿宋" w:hAnsi="仿宋" w:cs="仿宋" w:hint="eastAsia"/>
                <w:b/>
                <w:bCs/>
                <w:kern w:val="0"/>
                <w:sz w:val="24"/>
                <w:szCs w:val="24"/>
              </w:rPr>
              <w:t>学历要求</w:t>
            </w:r>
          </w:p>
        </w:tc>
        <w:tc>
          <w:tcPr>
            <w:tcW w:w="2631" w:type="dxa"/>
          </w:tcPr>
          <w:p w:rsidR="002F3CF7" w:rsidRDefault="009F520F" w:rsidP="00BB4511">
            <w:pPr>
              <w:pStyle w:val="11"/>
              <w:jc w:val="center"/>
              <w:rPr>
                <w:rFonts w:ascii="仿宋" w:eastAsia="仿宋" w:hAnsi="仿宋" w:cs="仿宋"/>
              </w:rPr>
            </w:pPr>
            <w:r>
              <w:rPr>
                <w:rFonts w:ascii="仿宋" w:eastAsia="仿宋" w:hAnsi="仿宋" w:cs="仿宋" w:hint="eastAsia"/>
                <w:kern w:val="0"/>
                <w:sz w:val="20"/>
              </w:rPr>
              <w:t>本科及以上</w:t>
            </w:r>
          </w:p>
        </w:tc>
        <w:tc>
          <w:tcPr>
            <w:tcW w:w="2631" w:type="dxa"/>
          </w:tcPr>
          <w:p w:rsidR="002F3CF7" w:rsidRDefault="009F520F" w:rsidP="00BB4511">
            <w:pPr>
              <w:pStyle w:val="11"/>
              <w:jc w:val="center"/>
              <w:rPr>
                <w:rFonts w:ascii="仿宋" w:eastAsia="仿宋" w:hAnsi="仿宋" w:cs="仿宋"/>
              </w:rPr>
            </w:pPr>
            <w:r>
              <w:rPr>
                <w:rFonts w:ascii="仿宋" w:eastAsia="仿宋" w:hAnsi="仿宋" w:cs="仿宋" w:hint="eastAsia"/>
                <w:kern w:val="0"/>
                <w:sz w:val="20"/>
              </w:rPr>
              <w:t>本科及以上</w:t>
            </w:r>
          </w:p>
        </w:tc>
        <w:tc>
          <w:tcPr>
            <w:tcW w:w="2632" w:type="dxa"/>
          </w:tcPr>
          <w:p w:rsidR="002F3CF7" w:rsidRDefault="009F520F" w:rsidP="00BB4511">
            <w:pPr>
              <w:pStyle w:val="11"/>
              <w:jc w:val="center"/>
              <w:rPr>
                <w:rFonts w:ascii="仿宋" w:eastAsia="仿宋" w:hAnsi="仿宋" w:cs="仿宋"/>
              </w:rPr>
            </w:pPr>
            <w:r>
              <w:rPr>
                <w:rFonts w:ascii="仿宋" w:eastAsia="仿宋" w:hAnsi="仿宋" w:cs="仿宋" w:hint="eastAsia"/>
                <w:kern w:val="0"/>
                <w:sz w:val="20"/>
              </w:rPr>
              <w:t>硕士及以上</w:t>
            </w:r>
          </w:p>
        </w:tc>
      </w:tr>
      <w:tr w:rsidR="002F3CF7" w:rsidTr="00BB4511">
        <w:trPr>
          <w:trHeight w:val="328"/>
        </w:trPr>
        <w:tc>
          <w:tcPr>
            <w:tcW w:w="1432" w:type="dxa"/>
          </w:tcPr>
          <w:p w:rsidR="002F3CF7" w:rsidRPr="00BB4511" w:rsidRDefault="009F520F" w:rsidP="00BB4511">
            <w:pPr>
              <w:pStyle w:val="11"/>
              <w:jc w:val="center"/>
              <w:rPr>
                <w:rFonts w:ascii="仿宋" w:eastAsia="仿宋" w:hAnsi="仿宋" w:cs="仿宋"/>
                <w:b/>
                <w:bCs/>
                <w:kern w:val="0"/>
                <w:sz w:val="24"/>
                <w:szCs w:val="24"/>
              </w:rPr>
            </w:pPr>
            <w:r w:rsidRPr="00BB4511">
              <w:rPr>
                <w:rFonts w:ascii="仿宋" w:eastAsia="仿宋" w:hAnsi="仿宋" w:cs="仿宋" w:hint="eastAsia"/>
                <w:b/>
                <w:bCs/>
                <w:kern w:val="0"/>
                <w:sz w:val="24"/>
                <w:szCs w:val="24"/>
              </w:rPr>
              <w:t>招聘人数</w:t>
            </w:r>
          </w:p>
        </w:tc>
        <w:tc>
          <w:tcPr>
            <w:tcW w:w="2631" w:type="dxa"/>
          </w:tcPr>
          <w:p w:rsidR="002F3CF7" w:rsidRDefault="009F520F" w:rsidP="00BB4511">
            <w:pPr>
              <w:pStyle w:val="11"/>
              <w:jc w:val="center"/>
              <w:rPr>
                <w:rFonts w:ascii="仿宋" w:eastAsia="仿宋" w:hAnsi="仿宋" w:cs="仿宋"/>
                <w:kern w:val="0"/>
                <w:sz w:val="20"/>
              </w:rPr>
            </w:pPr>
            <w:r>
              <w:rPr>
                <w:rFonts w:ascii="仿宋" w:eastAsia="仿宋" w:hAnsi="仿宋" w:cs="仿宋" w:hint="eastAsia"/>
                <w:kern w:val="0"/>
                <w:sz w:val="20"/>
              </w:rPr>
              <w:t>30</w:t>
            </w:r>
          </w:p>
        </w:tc>
        <w:tc>
          <w:tcPr>
            <w:tcW w:w="2631" w:type="dxa"/>
          </w:tcPr>
          <w:p w:rsidR="002F3CF7" w:rsidRDefault="009F520F" w:rsidP="00BB4511">
            <w:pPr>
              <w:pStyle w:val="11"/>
              <w:jc w:val="center"/>
              <w:rPr>
                <w:rFonts w:ascii="仿宋" w:eastAsia="仿宋" w:hAnsi="仿宋" w:cs="仿宋"/>
                <w:kern w:val="0"/>
                <w:sz w:val="20"/>
              </w:rPr>
            </w:pPr>
            <w:r>
              <w:rPr>
                <w:rFonts w:ascii="仿宋" w:eastAsia="仿宋" w:hAnsi="仿宋" w:cs="仿宋" w:hint="eastAsia"/>
                <w:kern w:val="0"/>
                <w:sz w:val="20"/>
              </w:rPr>
              <w:t>10</w:t>
            </w:r>
          </w:p>
        </w:tc>
        <w:tc>
          <w:tcPr>
            <w:tcW w:w="2632" w:type="dxa"/>
          </w:tcPr>
          <w:p w:rsidR="002F3CF7" w:rsidRDefault="009F520F" w:rsidP="00BB4511">
            <w:pPr>
              <w:pStyle w:val="11"/>
              <w:jc w:val="center"/>
              <w:rPr>
                <w:rFonts w:ascii="仿宋" w:eastAsia="仿宋" w:hAnsi="仿宋" w:cs="仿宋"/>
                <w:kern w:val="0"/>
                <w:sz w:val="20"/>
              </w:rPr>
            </w:pPr>
            <w:r>
              <w:rPr>
                <w:rFonts w:ascii="仿宋" w:eastAsia="仿宋" w:hAnsi="仿宋" w:cs="仿宋" w:hint="eastAsia"/>
                <w:kern w:val="0"/>
                <w:sz w:val="20"/>
              </w:rPr>
              <w:t>2</w:t>
            </w:r>
          </w:p>
        </w:tc>
      </w:tr>
      <w:tr w:rsidR="002F3CF7" w:rsidTr="00BB4511">
        <w:trPr>
          <w:trHeight w:val="328"/>
        </w:trPr>
        <w:tc>
          <w:tcPr>
            <w:tcW w:w="1432" w:type="dxa"/>
          </w:tcPr>
          <w:p w:rsidR="002F3CF7" w:rsidRPr="00BB4511" w:rsidRDefault="009F520F" w:rsidP="00BB4511">
            <w:pPr>
              <w:pStyle w:val="11"/>
              <w:jc w:val="center"/>
              <w:rPr>
                <w:rFonts w:ascii="仿宋" w:eastAsia="仿宋" w:hAnsi="仿宋" w:cs="仿宋"/>
                <w:b/>
                <w:bCs/>
                <w:kern w:val="0"/>
                <w:sz w:val="24"/>
                <w:szCs w:val="24"/>
              </w:rPr>
            </w:pPr>
            <w:r w:rsidRPr="00BB4511">
              <w:rPr>
                <w:rFonts w:ascii="仿宋" w:eastAsia="仿宋" w:hAnsi="仿宋" w:cs="仿宋" w:hint="eastAsia"/>
                <w:b/>
                <w:bCs/>
                <w:kern w:val="0"/>
                <w:sz w:val="24"/>
                <w:szCs w:val="24"/>
              </w:rPr>
              <w:t>工作地点</w:t>
            </w:r>
          </w:p>
        </w:tc>
        <w:tc>
          <w:tcPr>
            <w:tcW w:w="2631" w:type="dxa"/>
          </w:tcPr>
          <w:p w:rsidR="002F3CF7" w:rsidRDefault="009F520F" w:rsidP="00BB4511">
            <w:pPr>
              <w:pStyle w:val="11"/>
              <w:jc w:val="left"/>
              <w:rPr>
                <w:rFonts w:ascii="仿宋" w:eastAsia="仿宋" w:hAnsi="仿宋" w:cs="仿宋"/>
              </w:rPr>
            </w:pPr>
            <w:r>
              <w:rPr>
                <w:rFonts w:ascii="仿宋" w:eastAsia="仿宋" w:hAnsi="仿宋" w:cs="仿宋" w:hint="eastAsia"/>
                <w:kern w:val="0"/>
                <w:sz w:val="20"/>
              </w:rPr>
              <w:t>北京、广东、山东、江苏、云南、贵州、四川、湖北</w:t>
            </w:r>
          </w:p>
        </w:tc>
        <w:tc>
          <w:tcPr>
            <w:tcW w:w="2631" w:type="dxa"/>
          </w:tcPr>
          <w:p w:rsidR="002F3CF7" w:rsidRDefault="009F520F" w:rsidP="00BB4511">
            <w:pPr>
              <w:pStyle w:val="11"/>
              <w:jc w:val="left"/>
              <w:rPr>
                <w:rFonts w:ascii="仿宋" w:eastAsia="仿宋" w:hAnsi="仿宋" w:cs="仿宋"/>
                <w:kern w:val="0"/>
                <w:sz w:val="20"/>
              </w:rPr>
            </w:pPr>
            <w:r>
              <w:rPr>
                <w:rFonts w:ascii="仿宋" w:eastAsia="仿宋" w:hAnsi="仿宋" w:cs="仿宋" w:hint="eastAsia"/>
                <w:kern w:val="0"/>
                <w:sz w:val="20"/>
              </w:rPr>
              <w:t>北京、山东、江苏、云南、贵州、四川、湖北</w:t>
            </w:r>
          </w:p>
        </w:tc>
        <w:tc>
          <w:tcPr>
            <w:tcW w:w="2632" w:type="dxa"/>
          </w:tcPr>
          <w:p w:rsidR="002F3CF7" w:rsidRDefault="009F520F" w:rsidP="00BB4511">
            <w:pPr>
              <w:pStyle w:val="11"/>
              <w:jc w:val="center"/>
              <w:rPr>
                <w:rFonts w:ascii="仿宋" w:eastAsia="仿宋" w:hAnsi="仿宋" w:cs="仿宋"/>
              </w:rPr>
            </w:pPr>
            <w:r>
              <w:rPr>
                <w:rFonts w:ascii="仿宋" w:eastAsia="仿宋" w:hAnsi="仿宋" w:cs="仿宋" w:hint="eastAsia"/>
                <w:kern w:val="0"/>
                <w:sz w:val="20"/>
              </w:rPr>
              <w:t>北京</w:t>
            </w:r>
          </w:p>
        </w:tc>
      </w:tr>
    </w:tbl>
    <w:p w:rsidR="002F3CF7" w:rsidRPr="006E1774" w:rsidRDefault="009F520F" w:rsidP="006E1774">
      <w:pPr>
        <w:spacing w:line="360" w:lineRule="auto"/>
        <w:ind w:firstLineChars="200" w:firstLine="562"/>
        <w:rPr>
          <w:rFonts w:cs="仿宋"/>
          <w:b/>
          <w:szCs w:val="21"/>
        </w:rPr>
      </w:pPr>
      <w:r w:rsidRPr="006E1774">
        <w:rPr>
          <w:rFonts w:cs="仿宋" w:hint="eastAsia"/>
          <w:b/>
          <w:szCs w:val="21"/>
        </w:rPr>
        <w:t>3</w:t>
      </w:r>
      <w:r w:rsidRPr="006E1774">
        <w:rPr>
          <w:rFonts w:cs="仿宋" w:hint="eastAsia"/>
          <w:b/>
          <w:szCs w:val="21"/>
        </w:rPr>
        <w:t>、学习成绩要求：</w:t>
      </w:r>
    </w:p>
    <w:p w:rsidR="002F3CF7" w:rsidRDefault="009F520F">
      <w:pPr>
        <w:ind w:firstLineChars="200" w:firstLine="560"/>
        <w:rPr>
          <w:rFonts w:cs="仿宋"/>
        </w:rPr>
      </w:pPr>
      <w:r>
        <w:rPr>
          <w:rFonts w:cs="仿宋" w:hint="eastAsia"/>
        </w:rPr>
        <w:t>成绩良好、专业课程优秀</w:t>
      </w:r>
      <w:r>
        <w:rPr>
          <w:rFonts w:cs="仿宋" w:hint="eastAsia"/>
        </w:rPr>
        <w:t>无补考</w:t>
      </w:r>
      <w:r>
        <w:rPr>
          <w:rFonts w:cs="仿宋" w:hint="eastAsia"/>
        </w:rPr>
        <w:t>，大学英语四级及以上，熟练使用办公软件。</w:t>
      </w:r>
    </w:p>
    <w:p w:rsidR="002F3CF7" w:rsidRPr="006E1774" w:rsidRDefault="009F520F" w:rsidP="006E1774">
      <w:pPr>
        <w:spacing w:line="360" w:lineRule="auto"/>
        <w:ind w:firstLineChars="200" w:firstLine="562"/>
        <w:rPr>
          <w:rFonts w:cs="仿宋"/>
          <w:b/>
          <w:szCs w:val="21"/>
        </w:rPr>
      </w:pPr>
      <w:bookmarkStart w:id="0" w:name="_GoBack"/>
      <w:r w:rsidRPr="006E1774">
        <w:rPr>
          <w:rFonts w:cs="仿宋" w:hint="eastAsia"/>
          <w:b/>
          <w:szCs w:val="21"/>
        </w:rPr>
        <w:t>4</w:t>
      </w:r>
      <w:r w:rsidRPr="006E1774">
        <w:rPr>
          <w:rFonts w:cs="仿宋" w:hint="eastAsia"/>
          <w:b/>
          <w:szCs w:val="21"/>
        </w:rPr>
        <w:t>、综合素质要求：</w:t>
      </w:r>
    </w:p>
    <w:bookmarkEnd w:id="0"/>
    <w:p w:rsidR="002F3CF7" w:rsidRPr="00BB4511" w:rsidRDefault="009F520F" w:rsidP="00BB4511">
      <w:pPr>
        <w:numPr>
          <w:ilvl w:val="0"/>
          <w:numId w:val="4"/>
        </w:numPr>
        <w:ind w:left="0" w:firstLineChars="200" w:firstLine="560"/>
      </w:pPr>
      <w:r w:rsidRPr="00BB4511">
        <w:rPr>
          <w:rFonts w:hint="eastAsia"/>
        </w:rPr>
        <w:t>身体健康，积极进取，具备良好的语言表达能力；</w:t>
      </w:r>
    </w:p>
    <w:p w:rsidR="002F3CF7" w:rsidRPr="00BB4511" w:rsidRDefault="009F520F" w:rsidP="00BB4511">
      <w:pPr>
        <w:numPr>
          <w:ilvl w:val="0"/>
          <w:numId w:val="4"/>
        </w:numPr>
        <w:ind w:left="0" w:firstLineChars="200" w:firstLine="560"/>
      </w:pPr>
      <w:r w:rsidRPr="00BB4511">
        <w:rPr>
          <w:rFonts w:hint="eastAsia"/>
        </w:rPr>
        <w:t>熟练操作</w:t>
      </w:r>
      <w:r w:rsidRPr="00BB4511">
        <w:rPr>
          <w:rFonts w:hint="eastAsia"/>
        </w:rPr>
        <w:t>Word</w:t>
      </w:r>
      <w:r w:rsidRPr="00BB4511">
        <w:rPr>
          <w:rFonts w:hint="eastAsia"/>
        </w:rPr>
        <w:t>、</w:t>
      </w:r>
      <w:r w:rsidRPr="00BB4511">
        <w:rPr>
          <w:rFonts w:hint="eastAsia"/>
        </w:rPr>
        <w:t>Excel</w:t>
      </w:r>
      <w:r w:rsidRPr="00BB4511">
        <w:rPr>
          <w:rFonts w:hint="eastAsia"/>
        </w:rPr>
        <w:t>等办公软件</w:t>
      </w:r>
      <w:r w:rsidR="00BB4511">
        <w:rPr>
          <w:rFonts w:hint="eastAsia"/>
        </w:rPr>
        <w:t>，工程技术类需熟练使用CAD；</w:t>
      </w:r>
    </w:p>
    <w:p w:rsidR="002F3CF7" w:rsidRPr="00BB4511" w:rsidRDefault="00BB4511" w:rsidP="00BB4511">
      <w:pPr>
        <w:numPr>
          <w:ilvl w:val="0"/>
          <w:numId w:val="4"/>
        </w:numPr>
        <w:ind w:left="0" w:firstLineChars="200" w:firstLine="560"/>
      </w:pPr>
      <w:r>
        <w:rPr>
          <w:rFonts w:hint="eastAsia"/>
        </w:rPr>
        <w:t>认可</w:t>
      </w:r>
      <w:r w:rsidR="009F520F" w:rsidRPr="00BB4511">
        <w:rPr>
          <w:rFonts w:hint="eastAsia"/>
        </w:rPr>
        <w:t>工程</w:t>
      </w:r>
      <w:r>
        <w:rPr>
          <w:rFonts w:hint="eastAsia"/>
        </w:rPr>
        <w:t>建设</w:t>
      </w:r>
      <w:r w:rsidR="009F520F" w:rsidRPr="00BB4511">
        <w:rPr>
          <w:rFonts w:hint="eastAsia"/>
        </w:rPr>
        <w:t>事业，认同北京建工的企业文化和价值观，具有强烈的责任感</w:t>
      </w:r>
      <w:r w:rsidR="009F520F" w:rsidRPr="00BB4511">
        <w:rPr>
          <w:rFonts w:hint="eastAsia"/>
        </w:rPr>
        <w:t>；</w:t>
      </w:r>
    </w:p>
    <w:p w:rsidR="002F3CF7" w:rsidRPr="00BB4511" w:rsidRDefault="009F520F" w:rsidP="00BB4511">
      <w:pPr>
        <w:numPr>
          <w:ilvl w:val="0"/>
          <w:numId w:val="4"/>
        </w:numPr>
        <w:ind w:left="0" w:firstLineChars="200" w:firstLine="560"/>
      </w:pPr>
      <w:r w:rsidRPr="00BB4511">
        <w:rPr>
          <w:rFonts w:hint="eastAsia"/>
        </w:rPr>
        <w:t>中共党员、学生干部、获奖</w:t>
      </w:r>
      <w:r w:rsidR="00BB4511">
        <w:rPr>
          <w:rFonts w:hint="eastAsia"/>
        </w:rPr>
        <w:t>助</w:t>
      </w:r>
      <w:r w:rsidRPr="00BB4511">
        <w:rPr>
          <w:rFonts w:hint="eastAsia"/>
        </w:rPr>
        <w:t>学金者、相关实习经历者</w:t>
      </w:r>
      <w:r w:rsidR="00BB4511">
        <w:rPr>
          <w:rFonts w:hint="eastAsia"/>
        </w:rPr>
        <w:t>或有自愿服务者</w:t>
      </w:r>
      <w:r w:rsidRPr="00BB4511">
        <w:rPr>
          <w:rFonts w:hint="eastAsia"/>
        </w:rPr>
        <w:t>优先录取。</w:t>
      </w:r>
    </w:p>
    <w:p w:rsidR="002F3CF7" w:rsidRDefault="009F520F">
      <w:pPr>
        <w:pStyle w:val="2"/>
        <w:rPr>
          <w:rFonts w:ascii="仿宋" w:hAnsi="仿宋" w:cs="仿宋"/>
        </w:rPr>
      </w:pPr>
      <w:r>
        <w:rPr>
          <w:rFonts w:ascii="仿宋" w:hAnsi="仿宋" w:cs="仿宋" w:hint="eastAsia"/>
        </w:rPr>
        <w:lastRenderedPageBreak/>
        <w:t>四、招聘流程</w:t>
      </w:r>
    </w:p>
    <w:p w:rsidR="002F3CF7" w:rsidRPr="00BB4511" w:rsidRDefault="009F520F" w:rsidP="00BB4511">
      <w:pPr>
        <w:ind w:firstLineChars="200" w:firstLine="560"/>
        <w:jc w:val="left"/>
        <w:rPr>
          <w:rFonts w:cs="仿宋"/>
        </w:rPr>
      </w:pPr>
      <w:r w:rsidRPr="00BB4511">
        <w:rPr>
          <w:rFonts w:cs="仿宋" w:hint="eastAsia"/>
        </w:rPr>
        <w:t>1</w:t>
      </w:r>
      <w:r w:rsidRPr="00BB4511">
        <w:rPr>
          <w:rFonts w:cs="仿宋" w:hint="eastAsia"/>
        </w:rPr>
        <w:t>、</w:t>
      </w:r>
      <w:r w:rsidRPr="00BB4511">
        <w:rPr>
          <w:rFonts w:cs="仿宋" w:hint="eastAsia"/>
          <w:b/>
        </w:rPr>
        <w:t>简历投递</w:t>
      </w:r>
      <w:r w:rsidRPr="00BB4511">
        <w:rPr>
          <w:rFonts w:cs="仿宋" w:hint="eastAsia"/>
        </w:rPr>
        <w:t>：网上简历投递，宣讲会、</w:t>
      </w:r>
      <w:proofErr w:type="gramStart"/>
      <w:r w:rsidRPr="00BB4511">
        <w:rPr>
          <w:rFonts w:cs="仿宋" w:hint="eastAsia"/>
        </w:rPr>
        <w:t>双选会现场</w:t>
      </w:r>
      <w:proofErr w:type="gramEnd"/>
      <w:r w:rsidRPr="00BB4511">
        <w:rPr>
          <w:rFonts w:cs="仿宋" w:hint="eastAsia"/>
        </w:rPr>
        <w:t>简历投递</w:t>
      </w:r>
      <w:r w:rsidRPr="00BB4511">
        <w:rPr>
          <w:rFonts w:cs="仿宋" w:hint="eastAsia"/>
        </w:rPr>
        <w:t>；</w:t>
      </w:r>
    </w:p>
    <w:p w:rsidR="002F3CF7" w:rsidRPr="00BB4511" w:rsidRDefault="009F520F" w:rsidP="00BB4511">
      <w:pPr>
        <w:ind w:firstLineChars="200" w:firstLine="560"/>
        <w:jc w:val="left"/>
        <w:rPr>
          <w:rFonts w:cs="仿宋"/>
        </w:rPr>
      </w:pPr>
      <w:r w:rsidRPr="00BB4511">
        <w:rPr>
          <w:rFonts w:cs="仿宋" w:hint="eastAsia"/>
        </w:rPr>
        <w:t>2</w:t>
      </w:r>
      <w:r w:rsidRPr="00BB4511">
        <w:rPr>
          <w:rFonts w:cs="仿宋" w:hint="eastAsia"/>
        </w:rPr>
        <w:t>、</w:t>
      </w:r>
      <w:r w:rsidRPr="00BB4511">
        <w:rPr>
          <w:rFonts w:cs="仿宋" w:hint="eastAsia"/>
          <w:b/>
        </w:rPr>
        <w:t>简历筛选</w:t>
      </w:r>
      <w:r w:rsidRPr="00BB4511">
        <w:rPr>
          <w:rFonts w:cs="仿宋" w:hint="eastAsia"/>
        </w:rPr>
        <w:t>：公司人力资源部将组织相关专业人员就所投递的简历进行筛选，主要评估申请人的专业成绩、社会活动、实习经历以及其他特长等方面</w:t>
      </w:r>
      <w:r w:rsidRPr="00BB4511">
        <w:rPr>
          <w:rFonts w:cs="仿宋" w:hint="eastAsia"/>
        </w:rPr>
        <w:t>；</w:t>
      </w:r>
    </w:p>
    <w:p w:rsidR="002F3CF7" w:rsidRPr="00BB4511" w:rsidRDefault="009F520F" w:rsidP="00BB4511">
      <w:pPr>
        <w:ind w:firstLineChars="200" w:firstLine="560"/>
        <w:jc w:val="left"/>
        <w:rPr>
          <w:rFonts w:cs="仿宋"/>
        </w:rPr>
      </w:pPr>
      <w:r w:rsidRPr="00BB4511">
        <w:rPr>
          <w:rFonts w:cs="仿宋" w:hint="eastAsia"/>
        </w:rPr>
        <w:t>3</w:t>
      </w:r>
      <w:r w:rsidRPr="00BB4511">
        <w:rPr>
          <w:rFonts w:cs="仿宋" w:hint="eastAsia"/>
        </w:rPr>
        <w:t>、</w:t>
      </w:r>
      <w:r w:rsidRPr="00BB4511">
        <w:rPr>
          <w:rFonts w:cs="仿宋" w:hint="eastAsia"/>
          <w:b/>
        </w:rPr>
        <w:t>网上测评</w:t>
      </w:r>
      <w:r w:rsidRPr="00BB4511">
        <w:rPr>
          <w:rFonts w:cs="仿宋" w:hint="eastAsia"/>
        </w:rPr>
        <w:t>：通过一轮面试的申请人将被邀请参加网络在线测评，</w:t>
      </w:r>
      <w:r w:rsidRPr="00BB4511">
        <w:rPr>
          <w:rFonts w:cs="仿宋" w:hint="eastAsia"/>
        </w:rPr>
        <w:t>具体以邮件的形式通知</w:t>
      </w:r>
      <w:r w:rsidRPr="00BB4511">
        <w:rPr>
          <w:rFonts w:cs="仿宋" w:hint="eastAsia"/>
        </w:rPr>
        <w:t>；</w:t>
      </w:r>
    </w:p>
    <w:p w:rsidR="002F3CF7" w:rsidRPr="00BB4511" w:rsidRDefault="009F520F" w:rsidP="00BB4511">
      <w:pPr>
        <w:ind w:firstLineChars="200" w:firstLine="560"/>
        <w:jc w:val="left"/>
        <w:rPr>
          <w:rFonts w:cs="仿宋"/>
        </w:rPr>
      </w:pPr>
      <w:r w:rsidRPr="00BB4511">
        <w:rPr>
          <w:rFonts w:cs="仿宋" w:hint="eastAsia"/>
        </w:rPr>
        <w:t>4</w:t>
      </w:r>
      <w:r w:rsidRPr="00BB4511">
        <w:rPr>
          <w:rFonts w:cs="仿宋" w:hint="eastAsia"/>
        </w:rPr>
        <w:t>、</w:t>
      </w:r>
      <w:r w:rsidRPr="00BB4511">
        <w:rPr>
          <w:rFonts w:cs="仿宋" w:hint="eastAsia"/>
          <w:b/>
          <w:bCs/>
        </w:rPr>
        <w:t>笔试环节：</w:t>
      </w:r>
      <w:r w:rsidRPr="00BB4511">
        <w:rPr>
          <w:rFonts w:cs="仿宋" w:hint="eastAsia"/>
        </w:rPr>
        <w:t>简历通过评估的申请人将被邀请参加笔试</w:t>
      </w:r>
      <w:r w:rsidRPr="00BB4511">
        <w:rPr>
          <w:rFonts w:cs="仿宋" w:hint="eastAsia"/>
        </w:rPr>
        <w:t>；</w:t>
      </w:r>
    </w:p>
    <w:p w:rsidR="002F3CF7" w:rsidRPr="00BB4511" w:rsidRDefault="009F520F" w:rsidP="00BB4511">
      <w:pPr>
        <w:ind w:firstLineChars="200" w:firstLine="560"/>
        <w:jc w:val="left"/>
        <w:rPr>
          <w:rFonts w:cs="仿宋"/>
        </w:rPr>
      </w:pPr>
      <w:r w:rsidRPr="00BB4511">
        <w:rPr>
          <w:rFonts w:cs="仿宋" w:hint="eastAsia"/>
        </w:rPr>
        <w:t>5</w:t>
      </w:r>
      <w:r w:rsidRPr="00BB4511">
        <w:rPr>
          <w:rFonts w:cs="仿宋" w:hint="eastAsia"/>
        </w:rPr>
        <w:t>、</w:t>
      </w:r>
      <w:r w:rsidRPr="00BB4511">
        <w:rPr>
          <w:rFonts w:cs="仿宋" w:hint="eastAsia"/>
          <w:b/>
        </w:rPr>
        <w:t>参加面试：</w:t>
      </w:r>
      <w:r w:rsidRPr="00BB4511">
        <w:rPr>
          <w:rFonts w:cs="仿宋" w:hint="eastAsia"/>
        </w:rPr>
        <w:t>笔试通过评估的申请人将被邀请参加人力资源部组织参加面试，人力资源部会根据面试表现来决定是否安排下一轮测试</w:t>
      </w:r>
      <w:r w:rsidRPr="00BB4511">
        <w:rPr>
          <w:rFonts w:cs="仿宋" w:hint="eastAsia"/>
        </w:rPr>
        <w:t>；</w:t>
      </w:r>
    </w:p>
    <w:p w:rsidR="002F3CF7" w:rsidRPr="00BB4511" w:rsidRDefault="009F520F" w:rsidP="00BB4511">
      <w:pPr>
        <w:ind w:firstLineChars="200" w:firstLine="560"/>
        <w:jc w:val="left"/>
        <w:rPr>
          <w:rFonts w:cs="仿宋"/>
        </w:rPr>
      </w:pPr>
      <w:r w:rsidRPr="00BB4511">
        <w:rPr>
          <w:rFonts w:cs="仿宋" w:hint="eastAsia"/>
        </w:rPr>
        <w:t>6</w:t>
      </w:r>
      <w:r w:rsidRPr="00BB4511">
        <w:rPr>
          <w:rFonts w:cs="仿宋" w:hint="eastAsia"/>
        </w:rPr>
        <w:t>、</w:t>
      </w:r>
      <w:r w:rsidRPr="00BB4511">
        <w:rPr>
          <w:rFonts w:cs="仿宋" w:hint="eastAsia"/>
          <w:b/>
        </w:rPr>
        <w:t>offer</w:t>
      </w:r>
      <w:r w:rsidRPr="00BB4511">
        <w:rPr>
          <w:rFonts w:cs="仿宋" w:hint="eastAsia"/>
          <w:b/>
        </w:rPr>
        <w:t>发放</w:t>
      </w:r>
      <w:r w:rsidRPr="00BB4511">
        <w:rPr>
          <w:rFonts w:cs="仿宋" w:hint="eastAsia"/>
        </w:rPr>
        <w:t>：测评通过的申请人将收到公司的录用通知。</w:t>
      </w:r>
    </w:p>
    <w:p w:rsidR="002F3CF7" w:rsidRPr="00BB4511" w:rsidRDefault="00BB4511" w:rsidP="00BB4511">
      <w:pPr>
        <w:ind w:firstLineChars="200" w:firstLine="560"/>
        <w:jc w:val="left"/>
        <w:rPr>
          <w:rFonts w:cs="仿宋"/>
        </w:rPr>
      </w:pPr>
      <w:r w:rsidRPr="00BB4511">
        <w:rPr>
          <w:rFonts w:cs="仿宋" w:hint="eastAsia"/>
        </w:rPr>
        <w:t>公司</w:t>
      </w:r>
      <w:r w:rsidR="009F520F" w:rsidRPr="00BB4511">
        <w:rPr>
          <w:rFonts w:cs="仿宋" w:hint="eastAsia"/>
        </w:rPr>
        <w:t>人力资源部将根据实际招聘需要，进行相关环节的增删。</w:t>
      </w:r>
    </w:p>
    <w:p w:rsidR="002F3CF7" w:rsidRDefault="009F520F" w:rsidP="00507974">
      <w:pPr>
        <w:pStyle w:val="2"/>
        <w:spacing w:before="220" w:after="220" w:line="360" w:lineRule="auto"/>
        <w:rPr>
          <w:rFonts w:ascii="仿宋" w:hAnsi="仿宋" w:cs="仿宋"/>
        </w:rPr>
      </w:pPr>
      <w:r>
        <w:rPr>
          <w:rFonts w:ascii="仿宋" w:hAnsi="仿宋" w:cs="仿宋" w:hint="eastAsia"/>
        </w:rPr>
        <w:t>五、加入我们</w:t>
      </w:r>
    </w:p>
    <w:p w:rsidR="002F3CF7" w:rsidRPr="00BB4511" w:rsidRDefault="009F520F" w:rsidP="00BB4511">
      <w:pPr>
        <w:ind w:firstLineChars="200" w:firstLine="560"/>
        <w:jc w:val="left"/>
        <w:rPr>
          <w:rFonts w:cs="仿宋"/>
        </w:rPr>
      </w:pPr>
      <w:r w:rsidRPr="00BB4511">
        <w:rPr>
          <w:rFonts w:cs="仿宋" w:hint="eastAsia"/>
        </w:rPr>
        <w:t>招聘邮箱：</w:t>
      </w:r>
      <w:hyperlink r:id="rId8" w:history="1">
        <w:r w:rsidRPr="00BB4511">
          <w:rPr>
            <w:rFonts w:cs="仿宋" w:hint="eastAsia"/>
          </w:rPr>
          <w:t>hr</w:t>
        </w:r>
      </w:hyperlink>
      <w:hyperlink r:id="rId9" w:history="1">
        <w:r w:rsidRPr="00BB4511">
          <w:rPr>
            <w:rFonts w:cs="仿宋" w:hint="eastAsia"/>
          </w:rPr>
          <w:t>@bcegc.cn</w:t>
        </w:r>
      </w:hyperlink>
      <w:r w:rsidRPr="00BB4511">
        <w:rPr>
          <w:rFonts w:cs="仿宋" w:hint="eastAsia"/>
        </w:rPr>
        <w:t>（</w:t>
      </w:r>
      <w:r w:rsidRPr="00BB4511">
        <w:rPr>
          <w:rFonts w:cs="仿宋" w:hint="eastAsia"/>
        </w:rPr>
        <w:t>请将标题设置为“学校</w:t>
      </w:r>
      <w:r w:rsidRPr="00BB4511">
        <w:rPr>
          <w:rFonts w:cs="仿宋" w:hint="eastAsia"/>
        </w:rPr>
        <w:t>+</w:t>
      </w:r>
      <w:r w:rsidRPr="00BB4511">
        <w:rPr>
          <w:rFonts w:cs="仿宋" w:hint="eastAsia"/>
        </w:rPr>
        <w:t>专业</w:t>
      </w:r>
      <w:r w:rsidRPr="00BB4511">
        <w:rPr>
          <w:rFonts w:cs="仿宋" w:hint="eastAsia"/>
        </w:rPr>
        <w:t>+</w:t>
      </w:r>
      <w:r w:rsidRPr="00BB4511">
        <w:rPr>
          <w:rFonts w:cs="仿宋" w:hint="eastAsia"/>
        </w:rPr>
        <w:t>学历”）</w:t>
      </w:r>
    </w:p>
    <w:p w:rsidR="002F3CF7" w:rsidRPr="00BB4511" w:rsidRDefault="009F520F" w:rsidP="00507974">
      <w:pPr>
        <w:snapToGrid w:val="0"/>
        <w:ind w:firstLineChars="200" w:firstLine="560"/>
        <w:jc w:val="left"/>
        <w:rPr>
          <w:rFonts w:cs="仿宋"/>
        </w:rPr>
      </w:pPr>
      <w:r w:rsidRPr="00BB4511">
        <w:rPr>
          <w:rFonts w:cs="仿宋" w:hint="eastAsia"/>
        </w:rPr>
        <w:t>公司地址：北京市朝阳区京顺东街</w:t>
      </w:r>
      <w:r w:rsidRPr="00BB4511">
        <w:rPr>
          <w:rFonts w:cs="仿宋" w:hint="eastAsia"/>
        </w:rPr>
        <w:t>6</w:t>
      </w:r>
      <w:r w:rsidRPr="00BB4511">
        <w:rPr>
          <w:rFonts w:cs="仿宋" w:hint="eastAsia"/>
        </w:rPr>
        <w:t>号院</w:t>
      </w:r>
      <w:r w:rsidRPr="00BB4511">
        <w:rPr>
          <w:rFonts w:cs="仿宋" w:hint="eastAsia"/>
        </w:rPr>
        <w:t>A2-2</w:t>
      </w:r>
      <w:r w:rsidRPr="00BB4511">
        <w:rPr>
          <w:rFonts w:cs="仿宋" w:hint="eastAsia"/>
        </w:rPr>
        <w:t>楼</w:t>
      </w:r>
    </w:p>
    <w:p w:rsidR="002F3CF7" w:rsidRPr="00BB4511" w:rsidRDefault="009F520F" w:rsidP="00BB4511">
      <w:pPr>
        <w:ind w:firstLineChars="200" w:firstLine="560"/>
        <w:jc w:val="left"/>
        <w:rPr>
          <w:rFonts w:cs="仿宋"/>
        </w:rPr>
      </w:pPr>
      <w:r w:rsidRPr="00BB4511">
        <w:rPr>
          <w:rFonts w:cs="仿宋" w:hint="eastAsia"/>
        </w:rPr>
        <w:t>公司网址：</w:t>
      </w:r>
      <w:r w:rsidRPr="00BB4511">
        <w:rPr>
          <w:rFonts w:cs="仿宋" w:hint="eastAsia"/>
        </w:rPr>
        <w:t>http://bcegc.bcegc.com</w:t>
      </w:r>
    </w:p>
    <w:tbl>
      <w:tblPr>
        <w:tblStyle w:val="a9"/>
        <w:tblW w:w="8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2"/>
        <w:gridCol w:w="4382"/>
      </w:tblGrid>
      <w:tr w:rsidR="002F3CF7" w:rsidTr="00507974">
        <w:tc>
          <w:tcPr>
            <w:tcW w:w="4382" w:type="dxa"/>
          </w:tcPr>
          <w:p w:rsidR="002F3CF7" w:rsidRDefault="009F520F">
            <w:pPr>
              <w:widowControl/>
              <w:spacing w:line="360" w:lineRule="auto"/>
              <w:jc w:val="center"/>
              <w:rPr>
                <w:rFonts w:cs="仿宋"/>
                <w:b/>
                <w:kern w:val="0"/>
                <w:sz w:val="24"/>
                <w:szCs w:val="21"/>
              </w:rPr>
            </w:pPr>
            <w:proofErr w:type="gramStart"/>
            <w:r>
              <w:rPr>
                <w:rFonts w:cs="仿宋" w:hint="eastAsia"/>
                <w:b/>
                <w:kern w:val="0"/>
                <w:sz w:val="24"/>
                <w:szCs w:val="21"/>
              </w:rPr>
              <w:t>网申入口</w:t>
            </w:r>
            <w:proofErr w:type="gramEnd"/>
          </w:p>
        </w:tc>
        <w:tc>
          <w:tcPr>
            <w:tcW w:w="4382" w:type="dxa"/>
          </w:tcPr>
          <w:p w:rsidR="002F3CF7" w:rsidRDefault="009F520F">
            <w:pPr>
              <w:widowControl/>
              <w:spacing w:line="360" w:lineRule="auto"/>
              <w:jc w:val="center"/>
              <w:rPr>
                <w:rFonts w:cs="仿宋"/>
                <w:b/>
                <w:kern w:val="0"/>
                <w:sz w:val="24"/>
                <w:szCs w:val="21"/>
              </w:rPr>
            </w:pPr>
            <w:r>
              <w:rPr>
                <w:rFonts w:cs="仿宋" w:hint="eastAsia"/>
                <w:b/>
                <w:kern w:val="0"/>
                <w:sz w:val="24"/>
                <w:szCs w:val="21"/>
              </w:rPr>
              <w:t>公司微信</w:t>
            </w:r>
          </w:p>
        </w:tc>
      </w:tr>
      <w:tr w:rsidR="002F3CF7" w:rsidTr="00507974">
        <w:trPr>
          <w:trHeight w:val="2471"/>
        </w:trPr>
        <w:tc>
          <w:tcPr>
            <w:tcW w:w="4382" w:type="dxa"/>
          </w:tcPr>
          <w:p w:rsidR="002F3CF7" w:rsidRDefault="009F520F">
            <w:pPr>
              <w:widowControl/>
              <w:spacing w:line="360" w:lineRule="auto"/>
              <w:jc w:val="center"/>
              <w:rPr>
                <w:rFonts w:cs="仿宋"/>
                <w:kern w:val="0"/>
                <w:sz w:val="20"/>
                <w:szCs w:val="21"/>
              </w:rPr>
            </w:pPr>
            <w:r>
              <w:rPr>
                <w:rFonts w:cs="仿宋" w:hint="eastAsia"/>
                <w:noProof/>
                <w:kern w:val="0"/>
                <w:sz w:val="20"/>
                <w:szCs w:val="21"/>
              </w:rPr>
              <w:drawing>
                <wp:inline distT="0" distB="0" distL="114300" distR="114300" wp14:anchorId="3B400713" wp14:editId="225C253E">
                  <wp:extent cx="1561465" cy="1561465"/>
                  <wp:effectExtent l="0" t="0" r="635" b="635"/>
                  <wp:docPr id="1" name="图片 4" descr="6b335a8ce0064efb21cd548d88a7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6b335a8ce0064efb21cd548d88a7cce"/>
                          <pic:cNvPicPr>
                            <a:picLocks noChangeAspect="1"/>
                          </pic:cNvPicPr>
                        </pic:nvPicPr>
                        <pic:blipFill>
                          <a:blip r:embed="rId10">
                            <a:lum/>
                          </a:blip>
                          <a:stretch>
                            <a:fillRect/>
                          </a:stretch>
                        </pic:blipFill>
                        <pic:spPr>
                          <a:xfrm>
                            <a:off x="0" y="0"/>
                            <a:ext cx="1561465" cy="1561465"/>
                          </a:xfrm>
                          <a:prstGeom prst="rect">
                            <a:avLst/>
                          </a:prstGeom>
                          <a:noFill/>
                          <a:ln>
                            <a:noFill/>
                          </a:ln>
                        </pic:spPr>
                      </pic:pic>
                    </a:graphicData>
                  </a:graphic>
                </wp:inline>
              </w:drawing>
            </w:r>
          </w:p>
        </w:tc>
        <w:tc>
          <w:tcPr>
            <w:tcW w:w="4382" w:type="dxa"/>
          </w:tcPr>
          <w:p w:rsidR="002F3CF7" w:rsidRDefault="009F520F">
            <w:pPr>
              <w:widowControl/>
              <w:spacing w:line="360" w:lineRule="auto"/>
              <w:jc w:val="center"/>
              <w:rPr>
                <w:rFonts w:cs="仿宋"/>
                <w:kern w:val="0"/>
                <w:sz w:val="20"/>
                <w:szCs w:val="21"/>
              </w:rPr>
            </w:pPr>
            <w:r>
              <w:rPr>
                <w:rFonts w:cs="仿宋" w:hint="eastAsia"/>
                <w:noProof/>
                <w:kern w:val="0"/>
                <w:sz w:val="20"/>
                <w:szCs w:val="21"/>
              </w:rPr>
              <w:drawing>
                <wp:inline distT="0" distB="0" distL="114300" distR="114300" wp14:anchorId="440D7DFC" wp14:editId="54A70ACE">
                  <wp:extent cx="1572895" cy="1572895"/>
                  <wp:effectExtent l="0" t="0" r="8255" b="8255"/>
                  <wp:docPr id="2" name="图片 5" descr="cb75e1184d5ef30768064fcbdd19f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cb75e1184d5ef30768064fcbdd19f0b"/>
                          <pic:cNvPicPr>
                            <a:picLocks noChangeAspect="1"/>
                          </pic:cNvPicPr>
                        </pic:nvPicPr>
                        <pic:blipFill>
                          <a:blip r:embed="rId11">
                            <a:lum/>
                          </a:blip>
                          <a:stretch>
                            <a:fillRect/>
                          </a:stretch>
                        </pic:blipFill>
                        <pic:spPr>
                          <a:xfrm>
                            <a:off x="0" y="0"/>
                            <a:ext cx="1572895" cy="1572895"/>
                          </a:xfrm>
                          <a:prstGeom prst="rect">
                            <a:avLst/>
                          </a:prstGeom>
                          <a:noFill/>
                          <a:ln>
                            <a:noFill/>
                          </a:ln>
                        </pic:spPr>
                      </pic:pic>
                    </a:graphicData>
                  </a:graphic>
                </wp:inline>
              </w:drawing>
            </w:r>
          </w:p>
        </w:tc>
      </w:tr>
    </w:tbl>
    <w:p w:rsidR="002F3CF7" w:rsidRPr="00507974" w:rsidRDefault="002F3CF7" w:rsidP="00507974">
      <w:pPr>
        <w:contextualSpacing/>
      </w:pPr>
    </w:p>
    <w:sectPr w:rsidR="002F3CF7" w:rsidRPr="00507974">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20F" w:rsidRDefault="009F520F">
      <w:pPr>
        <w:spacing w:line="240" w:lineRule="auto"/>
      </w:pPr>
      <w:r>
        <w:separator/>
      </w:r>
    </w:p>
  </w:endnote>
  <w:endnote w:type="continuationSeparator" w:id="0">
    <w:p w:rsidR="009F520F" w:rsidRDefault="009F5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20F" w:rsidRDefault="009F520F">
      <w:pPr>
        <w:spacing w:line="240" w:lineRule="auto"/>
      </w:pPr>
      <w:r>
        <w:separator/>
      </w:r>
    </w:p>
  </w:footnote>
  <w:footnote w:type="continuationSeparator" w:id="0">
    <w:p w:rsidR="009F520F" w:rsidRDefault="009F520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5C7756"/>
    <w:multiLevelType w:val="singleLevel"/>
    <w:tmpl w:val="945C7756"/>
    <w:lvl w:ilvl="0">
      <w:start w:val="1"/>
      <w:numFmt w:val="decimal"/>
      <w:lvlText w:val="(%1)"/>
      <w:lvlJc w:val="left"/>
      <w:pPr>
        <w:ind w:left="425" w:hanging="425"/>
      </w:pPr>
      <w:rPr>
        <w:rFonts w:hint="default"/>
      </w:rPr>
    </w:lvl>
  </w:abstractNum>
  <w:abstractNum w:abstractNumId="1">
    <w:nsid w:val="226069E6"/>
    <w:multiLevelType w:val="multilevel"/>
    <w:tmpl w:val="226069E6"/>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CF61ACD"/>
    <w:multiLevelType w:val="multilevel"/>
    <w:tmpl w:val="2CF61ACD"/>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5B43282"/>
    <w:multiLevelType w:val="multilevel"/>
    <w:tmpl w:val="55B43282"/>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5D21CF6"/>
    <w:multiLevelType w:val="multilevel"/>
    <w:tmpl w:val="55D21CF6"/>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mMDJhODg2NWQ3M2Y3ZWVmMTliZTUwYjliMmMxMGIifQ=="/>
  </w:docVars>
  <w:rsids>
    <w:rsidRoot w:val="00D50C67"/>
    <w:rsid w:val="00005633"/>
    <w:rsid w:val="00015285"/>
    <w:rsid w:val="00022008"/>
    <w:rsid w:val="00025C9F"/>
    <w:rsid w:val="00026AF9"/>
    <w:rsid w:val="00026C9C"/>
    <w:rsid w:val="00027EBF"/>
    <w:rsid w:val="00030222"/>
    <w:rsid w:val="00036D54"/>
    <w:rsid w:val="000434A6"/>
    <w:rsid w:val="00044907"/>
    <w:rsid w:val="000644F2"/>
    <w:rsid w:val="00064E6A"/>
    <w:rsid w:val="0009664A"/>
    <w:rsid w:val="000A55F6"/>
    <w:rsid w:val="000A6967"/>
    <w:rsid w:val="000B28AF"/>
    <w:rsid w:val="000B28F1"/>
    <w:rsid w:val="000C59A1"/>
    <w:rsid w:val="000D5561"/>
    <w:rsid w:val="000E4899"/>
    <w:rsid w:val="000F0545"/>
    <w:rsid w:val="000F6D04"/>
    <w:rsid w:val="00103DA0"/>
    <w:rsid w:val="001154A7"/>
    <w:rsid w:val="00120879"/>
    <w:rsid w:val="0012302E"/>
    <w:rsid w:val="00125DAD"/>
    <w:rsid w:val="00134ED8"/>
    <w:rsid w:val="001434FA"/>
    <w:rsid w:val="00145628"/>
    <w:rsid w:val="00145EA2"/>
    <w:rsid w:val="00150653"/>
    <w:rsid w:val="001637B0"/>
    <w:rsid w:val="001671E8"/>
    <w:rsid w:val="001757B0"/>
    <w:rsid w:val="0018351A"/>
    <w:rsid w:val="00186E88"/>
    <w:rsid w:val="001877F8"/>
    <w:rsid w:val="00194F69"/>
    <w:rsid w:val="00195E01"/>
    <w:rsid w:val="00197526"/>
    <w:rsid w:val="001B3374"/>
    <w:rsid w:val="001B4819"/>
    <w:rsid w:val="001B6850"/>
    <w:rsid w:val="001C55E4"/>
    <w:rsid w:val="001C75F4"/>
    <w:rsid w:val="001D1078"/>
    <w:rsid w:val="001D121B"/>
    <w:rsid w:val="001D47CB"/>
    <w:rsid w:val="001D71A9"/>
    <w:rsid w:val="001D7DB9"/>
    <w:rsid w:val="001E495C"/>
    <w:rsid w:val="001E50AE"/>
    <w:rsid w:val="00200140"/>
    <w:rsid w:val="002054B1"/>
    <w:rsid w:val="00206ECE"/>
    <w:rsid w:val="002139DB"/>
    <w:rsid w:val="00226EED"/>
    <w:rsid w:val="00232009"/>
    <w:rsid w:val="00236325"/>
    <w:rsid w:val="0024117C"/>
    <w:rsid w:val="00242B15"/>
    <w:rsid w:val="00246774"/>
    <w:rsid w:val="002637E4"/>
    <w:rsid w:val="00264004"/>
    <w:rsid w:val="0027218F"/>
    <w:rsid w:val="00273486"/>
    <w:rsid w:val="00284CC2"/>
    <w:rsid w:val="00284CE6"/>
    <w:rsid w:val="00284DEA"/>
    <w:rsid w:val="0028594D"/>
    <w:rsid w:val="002879E3"/>
    <w:rsid w:val="002A11F2"/>
    <w:rsid w:val="002A3800"/>
    <w:rsid w:val="002B03F8"/>
    <w:rsid w:val="002C1DE2"/>
    <w:rsid w:val="002C62BB"/>
    <w:rsid w:val="002C7073"/>
    <w:rsid w:val="002C7547"/>
    <w:rsid w:val="002D116B"/>
    <w:rsid w:val="002E3CAC"/>
    <w:rsid w:val="002F3CF7"/>
    <w:rsid w:val="0030434A"/>
    <w:rsid w:val="00312723"/>
    <w:rsid w:val="00325B05"/>
    <w:rsid w:val="00337171"/>
    <w:rsid w:val="0034308A"/>
    <w:rsid w:val="00354391"/>
    <w:rsid w:val="00354F19"/>
    <w:rsid w:val="00371898"/>
    <w:rsid w:val="003759F0"/>
    <w:rsid w:val="0037714B"/>
    <w:rsid w:val="003776B1"/>
    <w:rsid w:val="00383E6F"/>
    <w:rsid w:val="0038498A"/>
    <w:rsid w:val="00394732"/>
    <w:rsid w:val="0039668E"/>
    <w:rsid w:val="003A4657"/>
    <w:rsid w:val="003A4BBC"/>
    <w:rsid w:val="003B5293"/>
    <w:rsid w:val="003B5840"/>
    <w:rsid w:val="003B7940"/>
    <w:rsid w:val="003C02E8"/>
    <w:rsid w:val="003C7B39"/>
    <w:rsid w:val="003C7CCD"/>
    <w:rsid w:val="003D0975"/>
    <w:rsid w:val="0040221E"/>
    <w:rsid w:val="00403398"/>
    <w:rsid w:val="0040392B"/>
    <w:rsid w:val="00404A3A"/>
    <w:rsid w:val="004118CA"/>
    <w:rsid w:val="00411E32"/>
    <w:rsid w:val="00420AFC"/>
    <w:rsid w:val="00422A40"/>
    <w:rsid w:val="00440A27"/>
    <w:rsid w:val="004416E3"/>
    <w:rsid w:val="00441746"/>
    <w:rsid w:val="00445C8A"/>
    <w:rsid w:val="00463FD7"/>
    <w:rsid w:val="004646B5"/>
    <w:rsid w:val="00464B28"/>
    <w:rsid w:val="0046687B"/>
    <w:rsid w:val="00466ACA"/>
    <w:rsid w:val="00467DA8"/>
    <w:rsid w:val="0047003B"/>
    <w:rsid w:val="00470919"/>
    <w:rsid w:val="00473637"/>
    <w:rsid w:val="00481245"/>
    <w:rsid w:val="0048334B"/>
    <w:rsid w:val="00486D31"/>
    <w:rsid w:val="00495D0A"/>
    <w:rsid w:val="004A2D14"/>
    <w:rsid w:val="004B5005"/>
    <w:rsid w:val="004B6FFD"/>
    <w:rsid w:val="004B7862"/>
    <w:rsid w:val="004C1E55"/>
    <w:rsid w:val="004C1E9E"/>
    <w:rsid w:val="004D3282"/>
    <w:rsid w:val="004D4712"/>
    <w:rsid w:val="004D5423"/>
    <w:rsid w:val="004F2026"/>
    <w:rsid w:val="00500091"/>
    <w:rsid w:val="00505382"/>
    <w:rsid w:val="00507974"/>
    <w:rsid w:val="005116C2"/>
    <w:rsid w:val="00515D1B"/>
    <w:rsid w:val="00516C4A"/>
    <w:rsid w:val="005216DD"/>
    <w:rsid w:val="00527480"/>
    <w:rsid w:val="00530219"/>
    <w:rsid w:val="00531742"/>
    <w:rsid w:val="0053672F"/>
    <w:rsid w:val="00546424"/>
    <w:rsid w:val="0055214A"/>
    <w:rsid w:val="0057320C"/>
    <w:rsid w:val="0057352A"/>
    <w:rsid w:val="00587568"/>
    <w:rsid w:val="005879C4"/>
    <w:rsid w:val="005A39E6"/>
    <w:rsid w:val="005A7711"/>
    <w:rsid w:val="005B4D54"/>
    <w:rsid w:val="005B6906"/>
    <w:rsid w:val="005B6E0B"/>
    <w:rsid w:val="005C0B22"/>
    <w:rsid w:val="005C2679"/>
    <w:rsid w:val="005C2C43"/>
    <w:rsid w:val="005E29FF"/>
    <w:rsid w:val="005E5F51"/>
    <w:rsid w:val="005F3DC7"/>
    <w:rsid w:val="005F51CF"/>
    <w:rsid w:val="0060781D"/>
    <w:rsid w:val="006200C4"/>
    <w:rsid w:val="0063086F"/>
    <w:rsid w:val="00630FE9"/>
    <w:rsid w:val="006323A5"/>
    <w:rsid w:val="00641221"/>
    <w:rsid w:val="0064326A"/>
    <w:rsid w:val="00644F89"/>
    <w:rsid w:val="0065248D"/>
    <w:rsid w:val="006549DA"/>
    <w:rsid w:val="00657184"/>
    <w:rsid w:val="00663F69"/>
    <w:rsid w:val="00672D8B"/>
    <w:rsid w:val="00674318"/>
    <w:rsid w:val="006819AB"/>
    <w:rsid w:val="006836EE"/>
    <w:rsid w:val="00686C5C"/>
    <w:rsid w:val="006876ED"/>
    <w:rsid w:val="006A0ECE"/>
    <w:rsid w:val="006A12AB"/>
    <w:rsid w:val="006A1AF3"/>
    <w:rsid w:val="006A4384"/>
    <w:rsid w:val="006B0CAC"/>
    <w:rsid w:val="006B0D60"/>
    <w:rsid w:val="006C14CD"/>
    <w:rsid w:val="006C331D"/>
    <w:rsid w:val="006D155F"/>
    <w:rsid w:val="006D1817"/>
    <w:rsid w:val="006D65D4"/>
    <w:rsid w:val="006E1774"/>
    <w:rsid w:val="006E1B77"/>
    <w:rsid w:val="00704F8E"/>
    <w:rsid w:val="00712DA7"/>
    <w:rsid w:val="007217A9"/>
    <w:rsid w:val="00726EE0"/>
    <w:rsid w:val="007270C7"/>
    <w:rsid w:val="0073269B"/>
    <w:rsid w:val="00736B84"/>
    <w:rsid w:val="00744417"/>
    <w:rsid w:val="00757F43"/>
    <w:rsid w:val="00770EAC"/>
    <w:rsid w:val="0077156C"/>
    <w:rsid w:val="00774439"/>
    <w:rsid w:val="007750CF"/>
    <w:rsid w:val="00794C57"/>
    <w:rsid w:val="007A3F9F"/>
    <w:rsid w:val="007B1738"/>
    <w:rsid w:val="007C2D41"/>
    <w:rsid w:val="007F556A"/>
    <w:rsid w:val="00800126"/>
    <w:rsid w:val="00800AAF"/>
    <w:rsid w:val="00802966"/>
    <w:rsid w:val="00814491"/>
    <w:rsid w:val="00815732"/>
    <w:rsid w:val="0082049D"/>
    <w:rsid w:val="00821775"/>
    <w:rsid w:val="008227B9"/>
    <w:rsid w:val="00825397"/>
    <w:rsid w:val="00832694"/>
    <w:rsid w:val="0084686B"/>
    <w:rsid w:val="00851A93"/>
    <w:rsid w:val="00865E29"/>
    <w:rsid w:val="008719EF"/>
    <w:rsid w:val="0087409F"/>
    <w:rsid w:val="00881F70"/>
    <w:rsid w:val="008831AD"/>
    <w:rsid w:val="008857B6"/>
    <w:rsid w:val="008866F4"/>
    <w:rsid w:val="0089068D"/>
    <w:rsid w:val="008A53BC"/>
    <w:rsid w:val="008B029F"/>
    <w:rsid w:val="008B21A6"/>
    <w:rsid w:val="008B5803"/>
    <w:rsid w:val="008C0419"/>
    <w:rsid w:val="008C2323"/>
    <w:rsid w:val="008C5A71"/>
    <w:rsid w:val="008C6C6A"/>
    <w:rsid w:val="008E38D4"/>
    <w:rsid w:val="008F4376"/>
    <w:rsid w:val="00904D01"/>
    <w:rsid w:val="009056D9"/>
    <w:rsid w:val="00910041"/>
    <w:rsid w:val="0091091B"/>
    <w:rsid w:val="00920241"/>
    <w:rsid w:val="009213D7"/>
    <w:rsid w:val="00922166"/>
    <w:rsid w:val="00937551"/>
    <w:rsid w:val="00942702"/>
    <w:rsid w:val="00960A33"/>
    <w:rsid w:val="00982E4A"/>
    <w:rsid w:val="0099187A"/>
    <w:rsid w:val="0099712C"/>
    <w:rsid w:val="009A0CD7"/>
    <w:rsid w:val="009A1FFD"/>
    <w:rsid w:val="009A419D"/>
    <w:rsid w:val="009A56E3"/>
    <w:rsid w:val="009C0077"/>
    <w:rsid w:val="009C3898"/>
    <w:rsid w:val="009D36EE"/>
    <w:rsid w:val="009D5AEC"/>
    <w:rsid w:val="009D5E62"/>
    <w:rsid w:val="009E5452"/>
    <w:rsid w:val="009F520F"/>
    <w:rsid w:val="009F5292"/>
    <w:rsid w:val="00A0270B"/>
    <w:rsid w:val="00A0281D"/>
    <w:rsid w:val="00A111AC"/>
    <w:rsid w:val="00A14EC0"/>
    <w:rsid w:val="00A16D97"/>
    <w:rsid w:val="00A27B15"/>
    <w:rsid w:val="00A31BBD"/>
    <w:rsid w:val="00A33948"/>
    <w:rsid w:val="00A368C2"/>
    <w:rsid w:val="00A4319A"/>
    <w:rsid w:val="00A6435B"/>
    <w:rsid w:val="00A90374"/>
    <w:rsid w:val="00AA316F"/>
    <w:rsid w:val="00AA709C"/>
    <w:rsid w:val="00AB0705"/>
    <w:rsid w:val="00AB076F"/>
    <w:rsid w:val="00AB3F50"/>
    <w:rsid w:val="00AB717A"/>
    <w:rsid w:val="00AC164B"/>
    <w:rsid w:val="00AC3C27"/>
    <w:rsid w:val="00AC723D"/>
    <w:rsid w:val="00AD034E"/>
    <w:rsid w:val="00AD7169"/>
    <w:rsid w:val="00AF2C8C"/>
    <w:rsid w:val="00B0051D"/>
    <w:rsid w:val="00B06405"/>
    <w:rsid w:val="00B23884"/>
    <w:rsid w:val="00B258BD"/>
    <w:rsid w:val="00B30E1C"/>
    <w:rsid w:val="00B33AEC"/>
    <w:rsid w:val="00B34244"/>
    <w:rsid w:val="00B3577D"/>
    <w:rsid w:val="00B3782D"/>
    <w:rsid w:val="00B4485A"/>
    <w:rsid w:val="00B55DC9"/>
    <w:rsid w:val="00B604CE"/>
    <w:rsid w:val="00B704F3"/>
    <w:rsid w:val="00B806F8"/>
    <w:rsid w:val="00B81BF4"/>
    <w:rsid w:val="00B843E2"/>
    <w:rsid w:val="00BA699D"/>
    <w:rsid w:val="00BB1FEC"/>
    <w:rsid w:val="00BB2C37"/>
    <w:rsid w:val="00BB41D1"/>
    <w:rsid w:val="00BB4511"/>
    <w:rsid w:val="00BC43F9"/>
    <w:rsid w:val="00BD68F6"/>
    <w:rsid w:val="00BF6DD8"/>
    <w:rsid w:val="00C02471"/>
    <w:rsid w:val="00C055D8"/>
    <w:rsid w:val="00C15415"/>
    <w:rsid w:val="00C26914"/>
    <w:rsid w:val="00C71861"/>
    <w:rsid w:val="00C7600D"/>
    <w:rsid w:val="00C76E41"/>
    <w:rsid w:val="00C854BC"/>
    <w:rsid w:val="00C8690F"/>
    <w:rsid w:val="00C90DEE"/>
    <w:rsid w:val="00C92DCE"/>
    <w:rsid w:val="00C93A5E"/>
    <w:rsid w:val="00C97CD1"/>
    <w:rsid w:val="00CB7B9E"/>
    <w:rsid w:val="00CC1D94"/>
    <w:rsid w:val="00CC60ED"/>
    <w:rsid w:val="00CD2380"/>
    <w:rsid w:val="00CE0262"/>
    <w:rsid w:val="00CE1B12"/>
    <w:rsid w:val="00CE5364"/>
    <w:rsid w:val="00CE60CA"/>
    <w:rsid w:val="00D119E2"/>
    <w:rsid w:val="00D22991"/>
    <w:rsid w:val="00D251F7"/>
    <w:rsid w:val="00D37F0E"/>
    <w:rsid w:val="00D47E40"/>
    <w:rsid w:val="00D50C67"/>
    <w:rsid w:val="00D51376"/>
    <w:rsid w:val="00D54225"/>
    <w:rsid w:val="00D7509F"/>
    <w:rsid w:val="00D8650D"/>
    <w:rsid w:val="00DA4848"/>
    <w:rsid w:val="00DA65B9"/>
    <w:rsid w:val="00DB1C40"/>
    <w:rsid w:val="00DB3B6B"/>
    <w:rsid w:val="00DB5CA6"/>
    <w:rsid w:val="00DC3E89"/>
    <w:rsid w:val="00DD6283"/>
    <w:rsid w:val="00DE6D3A"/>
    <w:rsid w:val="00DF5802"/>
    <w:rsid w:val="00E06FCF"/>
    <w:rsid w:val="00E1053E"/>
    <w:rsid w:val="00E30503"/>
    <w:rsid w:val="00E407FE"/>
    <w:rsid w:val="00E42ED9"/>
    <w:rsid w:val="00E5126E"/>
    <w:rsid w:val="00E53412"/>
    <w:rsid w:val="00E56290"/>
    <w:rsid w:val="00E60F6C"/>
    <w:rsid w:val="00E641DD"/>
    <w:rsid w:val="00E7019B"/>
    <w:rsid w:val="00E75FFD"/>
    <w:rsid w:val="00EA502C"/>
    <w:rsid w:val="00EB5410"/>
    <w:rsid w:val="00ED5DCD"/>
    <w:rsid w:val="00EE0CC2"/>
    <w:rsid w:val="00EE3BE0"/>
    <w:rsid w:val="00EE731F"/>
    <w:rsid w:val="00EF4E39"/>
    <w:rsid w:val="00F028BC"/>
    <w:rsid w:val="00F14EA1"/>
    <w:rsid w:val="00F1644C"/>
    <w:rsid w:val="00F17EB1"/>
    <w:rsid w:val="00F2005E"/>
    <w:rsid w:val="00F27D96"/>
    <w:rsid w:val="00F40933"/>
    <w:rsid w:val="00F42363"/>
    <w:rsid w:val="00F4313B"/>
    <w:rsid w:val="00F452A1"/>
    <w:rsid w:val="00F501BD"/>
    <w:rsid w:val="00F522D1"/>
    <w:rsid w:val="00F5294C"/>
    <w:rsid w:val="00F56F9C"/>
    <w:rsid w:val="00F61372"/>
    <w:rsid w:val="00F6186D"/>
    <w:rsid w:val="00F6440E"/>
    <w:rsid w:val="00F87AB8"/>
    <w:rsid w:val="00F90A74"/>
    <w:rsid w:val="00F9180F"/>
    <w:rsid w:val="00F95758"/>
    <w:rsid w:val="00F96437"/>
    <w:rsid w:val="00FB3199"/>
    <w:rsid w:val="00FB6AD7"/>
    <w:rsid w:val="00FC22D6"/>
    <w:rsid w:val="00FC70E8"/>
    <w:rsid w:val="00FD2290"/>
    <w:rsid w:val="00FE310B"/>
    <w:rsid w:val="03206AD9"/>
    <w:rsid w:val="037A5632"/>
    <w:rsid w:val="042807AF"/>
    <w:rsid w:val="0A943A53"/>
    <w:rsid w:val="170173F3"/>
    <w:rsid w:val="17F747BC"/>
    <w:rsid w:val="277964C5"/>
    <w:rsid w:val="27D03773"/>
    <w:rsid w:val="2C4A76D4"/>
    <w:rsid w:val="2D0F22EE"/>
    <w:rsid w:val="337D7BE4"/>
    <w:rsid w:val="34453AF1"/>
    <w:rsid w:val="3A2B4F26"/>
    <w:rsid w:val="412133EB"/>
    <w:rsid w:val="4BC00DD4"/>
    <w:rsid w:val="5099327A"/>
    <w:rsid w:val="51563273"/>
    <w:rsid w:val="5F7A46DE"/>
    <w:rsid w:val="644F2665"/>
    <w:rsid w:val="68085783"/>
    <w:rsid w:val="69A6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tLeast"/>
      <w:jc w:val="both"/>
    </w:pPr>
    <w:rPr>
      <w:rFonts w:ascii="仿宋" w:eastAsia="仿宋" w:hAnsi="仿宋" w:cs="黑体"/>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szCs w:val="24"/>
    </w:rPr>
  </w:style>
  <w:style w:type="paragraph" w:styleId="a8">
    <w:name w:val="Title"/>
    <w:basedOn w:val="a"/>
    <w:next w:val="a"/>
    <w:link w:val="Char3"/>
    <w:uiPriority w:val="10"/>
    <w:qFormat/>
    <w:pPr>
      <w:spacing w:before="240" w:after="60"/>
      <w:jc w:val="center"/>
      <w:outlineLvl w:val="0"/>
    </w:pPr>
    <w:rPr>
      <w:rFonts w:ascii="Calibri Light" w:hAnsi="Calibri Light"/>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page number"/>
    <w:basedOn w:val="a0"/>
    <w:unhideWhenUsed/>
    <w:qFormat/>
  </w:style>
  <w:style w:type="character" w:styleId="ac">
    <w:name w:val="Hyperlink"/>
    <w:uiPriority w:val="99"/>
    <w:unhideWhenUsed/>
    <w:qFormat/>
    <w:rPr>
      <w:color w:val="0000FF"/>
      <w:u w:val="single"/>
    </w:rPr>
  </w:style>
  <w:style w:type="paragraph" w:customStyle="1" w:styleId="10">
    <w:name w:val="列出段落1"/>
    <w:basedOn w:val="a"/>
    <w:uiPriority w:val="34"/>
    <w:qFormat/>
    <w:pPr>
      <w:ind w:firstLineChars="200" w:firstLine="420"/>
    </w:pPr>
    <w:rPr>
      <w:rFonts w:cs="Times New Roman"/>
      <w:szCs w:val="24"/>
    </w:rPr>
  </w:style>
  <w:style w:type="paragraph" w:customStyle="1" w:styleId="20">
    <w:name w:val="列出段落2"/>
    <w:basedOn w:val="a"/>
    <w:uiPriority w:val="34"/>
    <w:qFormat/>
    <w:pPr>
      <w:ind w:firstLineChars="200" w:firstLine="420"/>
    </w:pPr>
  </w:style>
  <w:style w:type="paragraph" w:customStyle="1" w:styleId="11">
    <w:name w:val="无间隔1"/>
    <w:uiPriority w:val="1"/>
    <w:qFormat/>
    <w:pPr>
      <w:widowControl w:val="0"/>
      <w:jc w:val="both"/>
    </w:pPr>
    <w:rPr>
      <w:kern w:val="2"/>
      <w:sz w:val="21"/>
    </w:rPr>
  </w:style>
  <w:style w:type="character" w:customStyle="1" w:styleId="Char3">
    <w:name w:val="标题 Char"/>
    <w:link w:val="a8"/>
    <w:uiPriority w:val="10"/>
    <w:qFormat/>
    <w:rPr>
      <w:rFonts w:ascii="Calibri Light" w:eastAsia="宋体" w:hAnsi="Calibri Light" w:cs="黑体"/>
      <w:b/>
      <w:bCs/>
      <w:sz w:val="32"/>
      <w:szCs w:val="32"/>
      <w:lang w:val="en-US" w:eastAsia="zh-CN" w:bidi="ar-SA"/>
    </w:rPr>
  </w:style>
  <w:style w:type="character" w:customStyle="1" w:styleId="Char2">
    <w:name w:val="副标题 Char"/>
    <w:link w:val="a6"/>
    <w:uiPriority w:val="11"/>
    <w:qFormat/>
    <w:rPr>
      <w:rFonts w:ascii="Calibri Light" w:eastAsia="宋体" w:hAnsi="Calibri Light" w:cs="黑体"/>
      <w:b/>
      <w:bCs/>
      <w:kern w:val="28"/>
      <w:sz w:val="32"/>
      <w:szCs w:val="32"/>
      <w:lang w:val="en-US" w:eastAsia="zh-CN" w:bidi="ar-SA"/>
    </w:rPr>
  </w:style>
  <w:style w:type="character" w:customStyle="1" w:styleId="Char">
    <w:name w:val="批注框文本 Char"/>
    <w:link w:val="a3"/>
    <w:uiPriority w:val="99"/>
    <w:semiHidden/>
    <w:qFormat/>
    <w:rPr>
      <w:rFonts w:ascii="Times New Roman" w:eastAsia="宋体" w:hAnsi="Times New Roman" w:cs="Times New Roman"/>
      <w:sz w:val="18"/>
      <w:szCs w:val="18"/>
      <w:lang w:val="en-US" w:eastAsia="zh-CN" w:bidi="ar-SA"/>
    </w:rPr>
  </w:style>
  <w:style w:type="character" w:customStyle="1" w:styleId="Char1">
    <w:name w:val="页眉 Char"/>
    <w:link w:val="a5"/>
    <w:uiPriority w:val="99"/>
    <w:qFormat/>
    <w:rPr>
      <w:rFonts w:ascii="Times New Roman" w:eastAsia="宋体" w:hAnsi="Times New Roman" w:cs="Times New Roman"/>
      <w:sz w:val="18"/>
      <w:szCs w:val="18"/>
      <w:lang w:val="en-US" w:eastAsia="zh-CN" w:bidi="ar-SA"/>
    </w:rPr>
  </w:style>
  <w:style w:type="character" w:customStyle="1" w:styleId="Char0">
    <w:name w:val="页脚 Char"/>
    <w:link w:val="a4"/>
    <w:uiPriority w:val="99"/>
    <w:qFormat/>
    <w:rPr>
      <w:rFonts w:ascii="Times New Roman" w:eastAsia="宋体" w:hAnsi="Times New Roman" w:cs="Times New Roman"/>
      <w:sz w:val="18"/>
      <w:szCs w:val="18"/>
      <w:lang w:val="en-US" w:eastAsia="zh-CN" w:bidi="ar-SA"/>
    </w:rPr>
  </w:style>
  <w:style w:type="character" w:customStyle="1" w:styleId="1Char">
    <w:name w:val="标题 1 Char"/>
    <w:link w:val="1"/>
    <w:uiPriority w:val="9"/>
    <w:qFormat/>
    <w:rPr>
      <w:rFonts w:ascii="Calibri" w:hAnsi="Calibri" w:cs="黑体"/>
      <w:b/>
      <w:bCs/>
      <w:kern w:val="44"/>
      <w:sz w:val="44"/>
      <w:szCs w:val="44"/>
    </w:rPr>
  </w:style>
  <w:style w:type="character" w:customStyle="1" w:styleId="2Char">
    <w:name w:val="标题 2 Char"/>
    <w:link w:val="2"/>
    <w:uiPriority w:val="9"/>
    <w:qFormat/>
    <w:rPr>
      <w:rFonts w:ascii="Cambria" w:eastAsia="仿宋" w:hAnsi="Cambria" w:cs="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99"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semiHidden="0" w:uiPriority="99"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40" w:lineRule="atLeast"/>
      <w:jc w:val="both"/>
    </w:pPr>
    <w:rPr>
      <w:rFonts w:ascii="仿宋" w:eastAsia="仿宋" w:hAnsi="仿宋" w:cs="黑体"/>
      <w:kern w:val="2"/>
      <w:sz w:val="28"/>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2"/>
    <w:uiPriority w:val="11"/>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szCs w:val="24"/>
    </w:rPr>
  </w:style>
  <w:style w:type="paragraph" w:styleId="a8">
    <w:name w:val="Title"/>
    <w:basedOn w:val="a"/>
    <w:next w:val="a"/>
    <w:link w:val="Char3"/>
    <w:uiPriority w:val="10"/>
    <w:qFormat/>
    <w:pPr>
      <w:spacing w:before="240" w:after="60"/>
      <w:jc w:val="center"/>
      <w:outlineLvl w:val="0"/>
    </w:pPr>
    <w:rPr>
      <w:rFonts w:ascii="Calibri Light" w:hAnsi="Calibri Light"/>
      <w:b/>
      <w:bCs/>
      <w:sz w:val="32"/>
      <w:szCs w:val="32"/>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rPr>
  </w:style>
  <w:style w:type="character" w:styleId="ab">
    <w:name w:val="page number"/>
    <w:basedOn w:val="a0"/>
    <w:unhideWhenUsed/>
    <w:qFormat/>
  </w:style>
  <w:style w:type="character" w:styleId="ac">
    <w:name w:val="Hyperlink"/>
    <w:uiPriority w:val="99"/>
    <w:unhideWhenUsed/>
    <w:qFormat/>
    <w:rPr>
      <w:color w:val="0000FF"/>
      <w:u w:val="single"/>
    </w:rPr>
  </w:style>
  <w:style w:type="paragraph" w:customStyle="1" w:styleId="10">
    <w:name w:val="列出段落1"/>
    <w:basedOn w:val="a"/>
    <w:uiPriority w:val="34"/>
    <w:qFormat/>
    <w:pPr>
      <w:ind w:firstLineChars="200" w:firstLine="420"/>
    </w:pPr>
    <w:rPr>
      <w:rFonts w:cs="Times New Roman"/>
      <w:szCs w:val="24"/>
    </w:rPr>
  </w:style>
  <w:style w:type="paragraph" w:customStyle="1" w:styleId="20">
    <w:name w:val="列出段落2"/>
    <w:basedOn w:val="a"/>
    <w:uiPriority w:val="34"/>
    <w:qFormat/>
    <w:pPr>
      <w:ind w:firstLineChars="200" w:firstLine="420"/>
    </w:pPr>
  </w:style>
  <w:style w:type="paragraph" w:customStyle="1" w:styleId="11">
    <w:name w:val="无间隔1"/>
    <w:uiPriority w:val="1"/>
    <w:qFormat/>
    <w:pPr>
      <w:widowControl w:val="0"/>
      <w:jc w:val="both"/>
    </w:pPr>
    <w:rPr>
      <w:kern w:val="2"/>
      <w:sz w:val="21"/>
    </w:rPr>
  </w:style>
  <w:style w:type="character" w:customStyle="1" w:styleId="Char3">
    <w:name w:val="标题 Char"/>
    <w:link w:val="a8"/>
    <w:uiPriority w:val="10"/>
    <w:qFormat/>
    <w:rPr>
      <w:rFonts w:ascii="Calibri Light" w:eastAsia="宋体" w:hAnsi="Calibri Light" w:cs="黑体"/>
      <w:b/>
      <w:bCs/>
      <w:sz w:val="32"/>
      <w:szCs w:val="32"/>
      <w:lang w:val="en-US" w:eastAsia="zh-CN" w:bidi="ar-SA"/>
    </w:rPr>
  </w:style>
  <w:style w:type="character" w:customStyle="1" w:styleId="Char2">
    <w:name w:val="副标题 Char"/>
    <w:link w:val="a6"/>
    <w:uiPriority w:val="11"/>
    <w:qFormat/>
    <w:rPr>
      <w:rFonts w:ascii="Calibri Light" w:eastAsia="宋体" w:hAnsi="Calibri Light" w:cs="黑体"/>
      <w:b/>
      <w:bCs/>
      <w:kern w:val="28"/>
      <w:sz w:val="32"/>
      <w:szCs w:val="32"/>
      <w:lang w:val="en-US" w:eastAsia="zh-CN" w:bidi="ar-SA"/>
    </w:rPr>
  </w:style>
  <w:style w:type="character" w:customStyle="1" w:styleId="Char">
    <w:name w:val="批注框文本 Char"/>
    <w:link w:val="a3"/>
    <w:uiPriority w:val="99"/>
    <w:semiHidden/>
    <w:qFormat/>
    <w:rPr>
      <w:rFonts w:ascii="Times New Roman" w:eastAsia="宋体" w:hAnsi="Times New Roman" w:cs="Times New Roman"/>
      <w:sz w:val="18"/>
      <w:szCs w:val="18"/>
      <w:lang w:val="en-US" w:eastAsia="zh-CN" w:bidi="ar-SA"/>
    </w:rPr>
  </w:style>
  <w:style w:type="character" w:customStyle="1" w:styleId="Char1">
    <w:name w:val="页眉 Char"/>
    <w:link w:val="a5"/>
    <w:uiPriority w:val="99"/>
    <w:qFormat/>
    <w:rPr>
      <w:rFonts w:ascii="Times New Roman" w:eastAsia="宋体" w:hAnsi="Times New Roman" w:cs="Times New Roman"/>
      <w:sz w:val="18"/>
      <w:szCs w:val="18"/>
      <w:lang w:val="en-US" w:eastAsia="zh-CN" w:bidi="ar-SA"/>
    </w:rPr>
  </w:style>
  <w:style w:type="character" w:customStyle="1" w:styleId="Char0">
    <w:name w:val="页脚 Char"/>
    <w:link w:val="a4"/>
    <w:uiPriority w:val="99"/>
    <w:qFormat/>
    <w:rPr>
      <w:rFonts w:ascii="Times New Roman" w:eastAsia="宋体" w:hAnsi="Times New Roman" w:cs="Times New Roman"/>
      <w:sz w:val="18"/>
      <w:szCs w:val="18"/>
      <w:lang w:val="en-US" w:eastAsia="zh-CN" w:bidi="ar-SA"/>
    </w:rPr>
  </w:style>
  <w:style w:type="character" w:customStyle="1" w:styleId="1Char">
    <w:name w:val="标题 1 Char"/>
    <w:link w:val="1"/>
    <w:uiPriority w:val="9"/>
    <w:qFormat/>
    <w:rPr>
      <w:rFonts w:ascii="Calibri" w:hAnsi="Calibri" w:cs="黑体"/>
      <w:b/>
      <w:bCs/>
      <w:kern w:val="44"/>
      <w:sz w:val="44"/>
      <w:szCs w:val="44"/>
    </w:rPr>
  </w:style>
  <w:style w:type="character" w:customStyle="1" w:styleId="2Char">
    <w:name w:val="标题 2 Char"/>
    <w:link w:val="2"/>
    <w:uiPriority w:val="9"/>
    <w:qFormat/>
    <w:rPr>
      <w:rFonts w:ascii="Cambria" w:eastAsia="仿宋"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HR@bcegc.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HR@bceg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466</Words>
  <Characters>2659</Characters>
  <Application>Microsoft Office Word</Application>
  <DocSecurity>0</DocSecurity>
  <Lines>22</Lines>
  <Paragraphs>6</Paragraphs>
  <ScaleCrop>false</ScaleCrop>
  <Company>Home</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北京建工土木工程有限公司2020校园招聘简章</dc:title>
  <dc:creator>HP-002</dc:creator>
  <cp:lastModifiedBy>China</cp:lastModifiedBy>
  <cp:revision>9</cp:revision>
  <cp:lastPrinted>2020-12-04T01:18:00Z</cp:lastPrinted>
  <dcterms:created xsi:type="dcterms:W3CDTF">2022-09-01T05:51:00Z</dcterms:created>
  <dcterms:modified xsi:type="dcterms:W3CDTF">2022-09-01T07:19:00Z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BA277318858F410D9745E0CF73888FDF</vt:lpwstr>
  </property>
</Properties>
</file>